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EAFE8" w14:textId="77777777" w:rsidR="00C96577" w:rsidRDefault="00C96577" w:rsidP="00755F90">
      <w:pPr>
        <w:jc w:val="center"/>
        <w:rPr>
          <w:b/>
          <w:bCs/>
          <w:sz w:val="26"/>
          <w:szCs w:val="26"/>
          <w:rtl/>
        </w:rPr>
      </w:pPr>
      <w:bookmarkStart w:id="0" w:name="_GoBack"/>
      <w:bookmarkEnd w:id="0"/>
      <w:r>
        <w:rPr>
          <w:noProof/>
        </w:rPr>
        <w:drawing>
          <wp:inline distT="0" distB="0" distL="0" distR="0" wp14:anchorId="612F9FCC" wp14:editId="7B12444D">
            <wp:extent cx="509905" cy="624205"/>
            <wp:effectExtent l="0" t="0" r="4445" b="4445"/>
            <wp:docPr id="1" name="תמונה 1" descr="סמל המדינה"/>
            <wp:cNvGraphicFramePr/>
            <a:graphic xmlns:a="http://schemas.openxmlformats.org/drawingml/2006/main">
              <a:graphicData uri="http://schemas.openxmlformats.org/drawingml/2006/picture">
                <pic:pic xmlns:pic="http://schemas.openxmlformats.org/drawingml/2006/picture">
                  <pic:nvPicPr>
                    <pic:cNvPr id="1" name="תמונה 1" descr="סמל המדינה"/>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905" cy="624205"/>
                    </a:xfrm>
                    <a:prstGeom prst="rect">
                      <a:avLst/>
                    </a:prstGeom>
                    <a:noFill/>
                    <a:ln>
                      <a:noFill/>
                    </a:ln>
                  </pic:spPr>
                </pic:pic>
              </a:graphicData>
            </a:graphic>
          </wp:inline>
        </w:drawing>
      </w:r>
    </w:p>
    <w:p w14:paraId="282F2A27" w14:textId="77777777" w:rsidR="00C96577" w:rsidRDefault="00C96577" w:rsidP="00755F90">
      <w:pPr>
        <w:rPr>
          <w:b/>
          <w:bCs/>
          <w:sz w:val="26"/>
          <w:szCs w:val="26"/>
          <w:rtl/>
        </w:rPr>
      </w:pPr>
      <w:r w:rsidRPr="00CB5068">
        <w:rPr>
          <w:b/>
          <w:bCs/>
          <w:sz w:val="26"/>
          <w:szCs w:val="26"/>
          <w:rtl/>
        </w:rPr>
        <w:t>תוכן עניינים</w:t>
      </w:r>
    </w:p>
    <w:p w14:paraId="4B3A9B38" w14:textId="2E85A09E" w:rsidR="000B2B7D" w:rsidRDefault="000B2B7D" w:rsidP="000B2B7D">
      <w:pPr>
        <w:pStyle w:val="TOC1"/>
        <w:rPr>
          <w:rFonts w:asciiTheme="minorHAnsi" w:eastAsiaTheme="minorEastAsia" w:hAnsiTheme="minorHAnsi" w:cstheme="minorBidi"/>
          <w:bCs w:val="0"/>
          <w:noProof/>
          <w:sz w:val="22"/>
          <w:rtl/>
        </w:rPr>
      </w:pPr>
      <w:r>
        <w:rPr>
          <w:rtl/>
        </w:rPr>
        <w:fldChar w:fldCharType="begin"/>
      </w:r>
      <w:r>
        <w:rPr>
          <w:rtl/>
        </w:rPr>
        <w:instrText xml:space="preserve"> </w:instrText>
      </w:r>
      <w:r>
        <w:instrText>TOC</w:instrText>
      </w:r>
      <w:r>
        <w:rPr>
          <w:rtl/>
        </w:rPr>
        <w:instrText xml:space="preserve"> \</w:instrText>
      </w:r>
      <w:r>
        <w:instrText>o "1-9" \h \z \t "Table SideHeading,3,Table Head,2,Head HatzaotHok,1,Head DivreiHesber,2,Head HatzaotHok4Futer,1</w:instrText>
      </w:r>
      <w:r>
        <w:rPr>
          <w:rtl/>
        </w:rPr>
        <w:instrText xml:space="preserve">" </w:instrText>
      </w:r>
      <w:r>
        <w:rPr>
          <w:rtl/>
        </w:rPr>
        <w:fldChar w:fldCharType="separate"/>
      </w:r>
      <w:hyperlink w:anchor="_Toc70425170" w:history="1">
        <w:r w:rsidRPr="00442C04">
          <w:rPr>
            <w:rStyle w:val="Hyperlink"/>
            <w:noProof/>
            <w:rtl/>
          </w:rPr>
          <w:t>טיוטת כללים</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Toc70425170 \h</w:instrText>
        </w:r>
        <w:r>
          <w:rPr>
            <w:noProof/>
            <w:webHidden/>
            <w:rtl/>
          </w:rPr>
          <w:instrText xml:space="preserve"> </w:instrText>
        </w:r>
        <w:r>
          <w:rPr>
            <w:noProof/>
            <w:webHidden/>
            <w:rtl/>
          </w:rPr>
        </w:r>
        <w:r>
          <w:rPr>
            <w:noProof/>
            <w:webHidden/>
            <w:rtl/>
          </w:rPr>
          <w:fldChar w:fldCharType="separate"/>
        </w:r>
        <w:r>
          <w:rPr>
            <w:noProof/>
            <w:webHidden/>
            <w:rtl/>
          </w:rPr>
          <w:t>2</w:t>
        </w:r>
        <w:r>
          <w:rPr>
            <w:noProof/>
            <w:webHidden/>
            <w:rtl/>
          </w:rPr>
          <w:fldChar w:fldCharType="end"/>
        </w:r>
      </w:hyperlink>
    </w:p>
    <w:p w14:paraId="22619DF8" w14:textId="1C9103D2" w:rsidR="000B2B7D" w:rsidRDefault="000E2AB6" w:rsidP="000B2B7D">
      <w:pPr>
        <w:pStyle w:val="TOC4"/>
        <w:rPr>
          <w:rFonts w:cstheme="minorBidi"/>
          <w:rtl/>
        </w:rPr>
      </w:pPr>
      <w:hyperlink w:anchor="_Toc70425171" w:history="1">
        <w:r w:rsidR="000B2B7D" w:rsidRPr="00442C04">
          <w:rPr>
            <w:rStyle w:val="Hyperlink"/>
            <w:rtl/>
          </w:rPr>
          <w:t>א. שם הכללים המוצעים</w:t>
        </w:r>
        <w:r w:rsidR="000B2B7D">
          <w:rPr>
            <w:webHidden/>
            <w:rtl/>
          </w:rPr>
          <w:tab/>
        </w:r>
        <w:r w:rsidR="000B2B7D">
          <w:rPr>
            <w:webHidden/>
            <w:rtl/>
          </w:rPr>
          <w:fldChar w:fldCharType="begin"/>
        </w:r>
        <w:r w:rsidR="000B2B7D">
          <w:rPr>
            <w:webHidden/>
            <w:rtl/>
          </w:rPr>
          <w:instrText xml:space="preserve"> </w:instrText>
        </w:r>
        <w:r w:rsidR="000B2B7D">
          <w:rPr>
            <w:webHidden/>
          </w:rPr>
          <w:instrText>PAGEREF</w:instrText>
        </w:r>
        <w:r w:rsidR="000B2B7D">
          <w:rPr>
            <w:webHidden/>
            <w:rtl/>
          </w:rPr>
          <w:instrText xml:space="preserve"> _</w:instrText>
        </w:r>
        <w:r w:rsidR="000B2B7D">
          <w:rPr>
            <w:webHidden/>
          </w:rPr>
          <w:instrText>Toc70425171 \h</w:instrText>
        </w:r>
        <w:r w:rsidR="000B2B7D">
          <w:rPr>
            <w:webHidden/>
            <w:rtl/>
          </w:rPr>
          <w:instrText xml:space="preserve"> </w:instrText>
        </w:r>
        <w:r w:rsidR="000B2B7D">
          <w:rPr>
            <w:webHidden/>
            <w:rtl/>
          </w:rPr>
        </w:r>
        <w:r w:rsidR="000B2B7D">
          <w:rPr>
            <w:webHidden/>
            <w:rtl/>
          </w:rPr>
          <w:fldChar w:fldCharType="separate"/>
        </w:r>
        <w:r w:rsidR="000B2B7D">
          <w:rPr>
            <w:webHidden/>
            <w:rtl/>
          </w:rPr>
          <w:t>2</w:t>
        </w:r>
        <w:r w:rsidR="000B2B7D">
          <w:rPr>
            <w:webHidden/>
            <w:rtl/>
          </w:rPr>
          <w:fldChar w:fldCharType="end"/>
        </w:r>
      </w:hyperlink>
    </w:p>
    <w:p w14:paraId="15F5F8C8" w14:textId="35878BF2" w:rsidR="000B2B7D" w:rsidRDefault="000E2AB6" w:rsidP="000B2B7D">
      <w:pPr>
        <w:pStyle w:val="TOC4"/>
        <w:rPr>
          <w:rFonts w:cstheme="minorBidi"/>
          <w:rtl/>
        </w:rPr>
      </w:pPr>
      <w:hyperlink w:anchor="_Toc70425172" w:history="1">
        <w:r w:rsidR="000B2B7D" w:rsidRPr="00442C04">
          <w:rPr>
            <w:rStyle w:val="Hyperlink"/>
            <w:rtl/>
          </w:rPr>
          <w:t>ב. מטרת הכללים המוצעים והצורך בהם</w:t>
        </w:r>
        <w:r w:rsidR="000B2B7D">
          <w:rPr>
            <w:webHidden/>
            <w:rtl/>
          </w:rPr>
          <w:tab/>
        </w:r>
        <w:r w:rsidR="000B2B7D">
          <w:rPr>
            <w:webHidden/>
            <w:rtl/>
          </w:rPr>
          <w:fldChar w:fldCharType="begin"/>
        </w:r>
        <w:r w:rsidR="000B2B7D">
          <w:rPr>
            <w:webHidden/>
            <w:rtl/>
          </w:rPr>
          <w:instrText xml:space="preserve"> </w:instrText>
        </w:r>
        <w:r w:rsidR="000B2B7D">
          <w:rPr>
            <w:webHidden/>
          </w:rPr>
          <w:instrText>PAGEREF</w:instrText>
        </w:r>
        <w:r w:rsidR="000B2B7D">
          <w:rPr>
            <w:webHidden/>
            <w:rtl/>
          </w:rPr>
          <w:instrText xml:space="preserve"> _</w:instrText>
        </w:r>
        <w:r w:rsidR="000B2B7D">
          <w:rPr>
            <w:webHidden/>
          </w:rPr>
          <w:instrText>Toc70425172 \h</w:instrText>
        </w:r>
        <w:r w:rsidR="000B2B7D">
          <w:rPr>
            <w:webHidden/>
            <w:rtl/>
          </w:rPr>
          <w:instrText xml:space="preserve"> </w:instrText>
        </w:r>
        <w:r w:rsidR="000B2B7D">
          <w:rPr>
            <w:webHidden/>
            <w:rtl/>
          </w:rPr>
        </w:r>
        <w:r w:rsidR="000B2B7D">
          <w:rPr>
            <w:webHidden/>
            <w:rtl/>
          </w:rPr>
          <w:fldChar w:fldCharType="separate"/>
        </w:r>
        <w:r w:rsidR="000B2B7D">
          <w:rPr>
            <w:webHidden/>
            <w:rtl/>
          </w:rPr>
          <w:t>2</w:t>
        </w:r>
        <w:r w:rsidR="000B2B7D">
          <w:rPr>
            <w:webHidden/>
            <w:rtl/>
          </w:rPr>
          <w:fldChar w:fldCharType="end"/>
        </w:r>
      </w:hyperlink>
    </w:p>
    <w:p w14:paraId="1855C14A" w14:textId="73A88156" w:rsidR="000B2B7D" w:rsidRDefault="000E2AB6" w:rsidP="000B2B7D">
      <w:pPr>
        <w:pStyle w:val="TOC4"/>
        <w:rPr>
          <w:rFonts w:cstheme="minorBidi"/>
          <w:rtl/>
        </w:rPr>
      </w:pPr>
      <w:hyperlink w:anchor="_Toc70425173" w:history="1">
        <w:r w:rsidR="000B2B7D" w:rsidRPr="00442C04">
          <w:rPr>
            <w:rStyle w:val="Hyperlink"/>
            <w:rtl/>
          </w:rPr>
          <w:t>ג. להלן נוסח טיוטת הכללים המוצעים:</w:t>
        </w:r>
        <w:r w:rsidR="000B2B7D">
          <w:rPr>
            <w:webHidden/>
            <w:rtl/>
          </w:rPr>
          <w:tab/>
        </w:r>
        <w:r w:rsidR="000B2B7D">
          <w:rPr>
            <w:webHidden/>
            <w:rtl/>
          </w:rPr>
          <w:fldChar w:fldCharType="begin"/>
        </w:r>
        <w:r w:rsidR="000B2B7D">
          <w:rPr>
            <w:webHidden/>
            <w:rtl/>
          </w:rPr>
          <w:instrText xml:space="preserve"> </w:instrText>
        </w:r>
        <w:r w:rsidR="000B2B7D">
          <w:rPr>
            <w:webHidden/>
          </w:rPr>
          <w:instrText>PAGEREF</w:instrText>
        </w:r>
        <w:r w:rsidR="000B2B7D">
          <w:rPr>
            <w:webHidden/>
            <w:rtl/>
          </w:rPr>
          <w:instrText xml:space="preserve"> _</w:instrText>
        </w:r>
        <w:r w:rsidR="000B2B7D">
          <w:rPr>
            <w:webHidden/>
          </w:rPr>
          <w:instrText>Toc70425173 \h</w:instrText>
        </w:r>
        <w:r w:rsidR="000B2B7D">
          <w:rPr>
            <w:webHidden/>
            <w:rtl/>
          </w:rPr>
          <w:instrText xml:space="preserve"> </w:instrText>
        </w:r>
        <w:r w:rsidR="000B2B7D">
          <w:rPr>
            <w:webHidden/>
            <w:rtl/>
          </w:rPr>
        </w:r>
        <w:r w:rsidR="000B2B7D">
          <w:rPr>
            <w:webHidden/>
            <w:rtl/>
          </w:rPr>
          <w:fldChar w:fldCharType="separate"/>
        </w:r>
        <w:r w:rsidR="000B2B7D">
          <w:rPr>
            <w:webHidden/>
            <w:rtl/>
          </w:rPr>
          <w:t>2</w:t>
        </w:r>
        <w:r w:rsidR="000B2B7D">
          <w:rPr>
            <w:webHidden/>
            <w:rtl/>
          </w:rPr>
          <w:fldChar w:fldCharType="end"/>
        </w:r>
      </w:hyperlink>
    </w:p>
    <w:p w14:paraId="2CE4E2F0" w14:textId="44FB553E" w:rsidR="000B2B7D" w:rsidRDefault="000E2AB6" w:rsidP="000B2B7D">
      <w:pPr>
        <w:pStyle w:val="TOC1"/>
        <w:rPr>
          <w:rFonts w:asciiTheme="minorHAnsi" w:eastAsiaTheme="minorEastAsia" w:hAnsiTheme="minorHAnsi" w:cstheme="minorBidi"/>
          <w:bCs w:val="0"/>
          <w:noProof/>
          <w:sz w:val="22"/>
          <w:rtl/>
        </w:rPr>
      </w:pPr>
      <w:hyperlink w:anchor="_Toc70425174" w:history="1">
        <w:r w:rsidR="000B2B7D" w:rsidRPr="00442C04">
          <w:rPr>
            <w:rStyle w:val="Hyperlink"/>
            <w:noProof/>
            <w:rtl/>
          </w:rPr>
          <w:t>טיוטת כללי ההגבלים העסקיים (פטור סוג להסכמי זכיינות) (הוראת שעה)</w:t>
        </w:r>
        <w:r w:rsidR="000B2B7D" w:rsidRPr="00442C04">
          <w:rPr>
            <w:rStyle w:val="Hyperlink"/>
            <w:noProof/>
          </w:rPr>
          <w:t>,</w:t>
        </w:r>
        <w:r w:rsidR="000B2B7D" w:rsidRPr="00442C04">
          <w:rPr>
            <w:rStyle w:val="Hyperlink"/>
            <w:noProof/>
            <w:rtl/>
          </w:rPr>
          <w:t xml:space="preserve"> תשפ"א-2021</w:t>
        </w:r>
        <w:r w:rsidR="000B2B7D">
          <w:rPr>
            <w:noProof/>
            <w:webHidden/>
            <w:rtl/>
          </w:rPr>
          <w:tab/>
        </w:r>
        <w:r w:rsidR="000B2B7D">
          <w:rPr>
            <w:noProof/>
            <w:webHidden/>
            <w:rtl/>
          </w:rPr>
          <w:fldChar w:fldCharType="begin"/>
        </w:r>
        <w:r w:rsidR="000B2B7D">
          <w:rPr>
            <w:noProof/>
            <w:webHidden/>
            <w:rtl/>
          </w:rPr>
          <w:instrText xml:space="preserve"> </w:instrText>
        </w:r>
        <w:r w:rsidR="000B2B7D">
          <w:rPr>
            <w:noProof/>
            <w:webHidden/>
          </w:rPr>
          <w:instrText>PAGEREF</w:instrText>
        </w:r>
        <w:r w:rsidR="000B2B7D">
          <w:rPr>
            <w:noProof/>
            <w:webHidden/>
            <w:rtl/>
          </w:rPr>
          <w:instrText xml:space="preserve"> _</w:instrText>
        </w:r>
        <w:r w:rsidR="000B2B7D">
          <w:rPr>
            <w:noProof/>
            <w:webHidden/>
          </w:rPr>
          <w:instrText>Toc70425174 \h</w:instrText>
        </w:r>
        <w:r w:rsidR="000B2B7D">
          <w:rPr>
            <w:noProof/>
            <w:webHidden/>
            <w:rtl/>
          </w:rPr>
          <w:instrText xml:space="preserve"> </w:instrText>
        </w:r>
        <w:r w:rsidR="000B2B7D">
          <w:rPr>
            <w:noProof/>
            <w:webHidden/>
            <w:rtl/>
          </w:rPr>
        </w:r>
        <w:r w:rsidR="000B2B7D">
          <w:rPr>
            <w:noProof/>
            <w:webHidden/>
            <w:rtl/>
          </w:rPr>
          <w:fldChar w:fldCharType="separate"/>
        </w:r>
        <w:r w:rsidR="000B2B7D">
          <w:rPr>
            <w:noProof/>
            <w:webHidden/>
            <w:rtl/>
          </w:rPr>
          <w:t>3</w:t>
        </w:r>
        <w:r w:rsidR="000B2B7D">
          <w:rPr>
            <w:noProof/>
            <w:webHidden/>
            <w:rtl/>
          </w:rPr>
          <w:fldChar w:fldCharType="end"/>
        </w:r>
      </w:hyperlink>
    </w:p>
    <w:p w14:paraId="63E2EDB9" w14:textId="3B31A51F" w:rsidR="000B2B7D" w:rsidRDefault="000E2AB6" w:rsidP="000B2B7D">
      <w:pPr>
        <w:pStyle w:val="TOC3"/>
        <w:rPr>
          <w:rFonts w:asciiTheme="minorHAnsi" w:eastAsiaTheme="minorEastAsia" w:hAnsiTheme="minorHAnsi" w:cstheme="minorBidi"/>
          <w:noProof/>
          <w:sz w:val="22"/>
          <w:rtl/>
        </w:rPr>
      </w:pPr>
      <w:hyperlink w:anchor="_Toc70425175" w:history="1">
        <w:r w:rsidR="000B2B7D" w:rsidRPr="00442C04">
          <w:rPr>
            <w:rStyle w:val="Hyperlink"/>
            <w:noProof/>
            <w:rtl/>
          </w:rPr>
          <w:t>תיקון השם</w:t>
        </w:r>
        <w:r w:rsidR="000B2B7D">
          <w:rPr>
            <w:noProof/>
            <w:webHidden/>
            <w:rtl/>
          </w:rPr>
          <w:tab/>
        </w:r>
        <w:r w:rsidR="000B2B7D">
          <w:rPr>
            <w:noProof/>
            <w:webHidden/>
            <w:rtl/>
          </w:rPr>
          <w:fldChar w:fldCharType="begin"/>
        </w:r>
        <w:r w:rsidR="000B2B7D">
          <w:rPr>
            <w:noProof/>
            <w:webHidden/>
            <w:rtl/>
          </w:rPr>
          <w:instrText xml:space="preserve"> </w:instrText>
        </w:r>
        <w:r w:rsidR="000B2B7D">
          <w:rPr>
            <w:noProof/>
            <w:webHidden/>
          </w:rPr>
          <w:instrText>PAGEREF</w:instrText>
        </w:r>
        <w:r w:rsidR="000B2B7D">
          <w:rPr>
            <w:noProof/>
            <w:webHidden/>
            <w:rtl/>
          </w:rPr>
          <w:instrText xml:space="preserve"> _</w:instrText>
        </w:r>
        <w:r w:rsidR="000B2B7D">
          <w:rPr>
            <w:noProof/>
            <w:webHidden/>
          </w:rPr>
          <w:instrText>Toc70425175 \h</w:instrText>
        </w:r>
        <w:r w:rsidR="000B2B7D">
          <w:rPr>
            <w:noProof/>
            <w:webHidden/>
            <w:rtl/>
          </w:rPr>
          <w:instrText xml:space="preserve"> </w:instrText>
        </w:r>
        <w:r w:rsidR="000B2B7D">
          <w:rPr>
            <w:noProof/>
            <w:webHidden/>
            <w:rtl/>
          </w:rPr>
        </w:r>
        <w:r w:rsidR="000B2B7D">
          <w:rPr>
            <w:noProof/>
            <w:webHidden/>
            <w:rtl/>
          </w:rPr>
          <w:fldChar w:fldCharType="separate"/>
        </w:r>
        <w:r w:rsidR="000B2B7D">
          <w:rPr>
            <w:noProof/>
            <w:webHidden/>
            <w:rtl/>
          </w:rPr>
          <w:t>3</w:t>
        </w:r>
        <w:r w:rsidR="000B2B7D">
          <w:rPr>
            <w:noProof/>
            <w:webHidden/>
            <w:rtl/>
          </w:rPr>
          <w:fldChar w:fldCharType="end"/>
        </w:r>
      </w:hyperlink>
    </w:p>
    <w:p w14:paraId="13C6B890" w14:textId="66862DDB" w:rsidR="000B2B7D" w:rsidRDefault="000E2AB6" w:rsidP="000B2B7D">
      <w:pPr>
        <w:pStyle w:val="TOC3"/>
        <w:rPr>
          <w:rFonts w:asciiTheme="minorHAnsi" w:eastAsiaTheme="minorEastAsia" w:hAnsiTheme="minorHAnsi" w:cstheme="minorBidi"/>
          <w:noProof/>
          <w:sz w:val="22"/>
          <w:rtl/>
        </w:rPr>
      </w:pPr>
      <w:hyperlink w:anchor="_Toc70425176" w:history="1">
        <w:r w:rsidR="000B2B7D" w:rsidRPr="00442C04">
          <w:rPr>
            <w:rStyle w:val="Hyperlink"/>
            <w:noProof/>
            <w:rtl/>
          </w:rPr>
          <w:t>תיקון הפתיח</w:t>
        </w:r>
        <w:r w:rsidR="000B2B7D">
          <w:rPr>
            <w:noProof/>
            <w:webHidden/>
            <w:rtl/>
          </w:rPr>
          <w:tab/>
        </w:r>
        <w:r w:rsidR="000B2B7D">
          <w:rPr>
            <w:noProof/>
            <w:webHidden/>
            <w:rtl/>
          </w:rPr>
          <w:fldChar w:fldCharType="begin"/>
        </w:r>
        <w:r w:rsidR="000B2B7D">
          <w:rPr>
            <w:noProof/>
            <w:webHidden/>
            <w:rtl/>
          </w:rPr>
          <w:instrText xml:space="preserve"> </w:instrText>
        </w:r>
        <w:r w:rsidR="000B2B7D">
          <w:rPr>
            <w:noProof/>
            <w:webHidden/>
          </w:rPr>
          <w:instrText>PAGEREF</w:instrText>
        </w:r>
        <w:r w:rsidR="000B2B7D">
          <w:rPr>
            <w:noProof/>
            <w:webHidden/>
            <w:rtl/>
          </w:rPr>
          <w:instrText xml:space="preserve"> _</w:instrText>
        </w:r>
        <w:r w:rsidR="000B2B7D">
          <w:rPr>
            <w:noProof/>
            <w:webHidden/>
          </w:rPr>
          <w:instrText>Toc70425176 \h</w:instrText>
        </w:r>
        <w:r w:rsidR="000B2B7D">
          <w:rPr>
            <w:noProof/>
            <w:webHidden/>
            <w:rtl/>
          </w:rPr>
          <w:instrText xml:space="preserve"> </w:instrText>
        </w:r>
        <w:r w:rsidR="000B2B7D">
          <w:rPr>
            <w:noProof/>
            <w:webHidden/>
            <w:rtl/>
          </w:rPr>
        </w:r>
        <w:r w:rsidR="000B2B7D">
          <w:rPr>
            <w:noProof/>
            <w:webHidden/>
            <w:rtl/>
          </w:rPr>
          <w:fldChar w:fldCharType="separate"/>
        </w:r>
        <w:r w:rsidR="000B2B7D">
          <w:rPr>
            <w:noProof/>
            <w:webHidden/>
            <w:rtl/>
          </w:rPr>
          <w:t>3</w:t>
        </w:r>
        <w:r w:rsidR="000B2B7D">
          <w:rPr>
            <w:noProof/>
            <w:webHidden/>
            <w:rtl/>
          </w:rPr>
          <w:fldChar w:fldCharType="end"/>
        </w:r>
      </w:hyperlink>
    </w:p>
    <w:p w14:paraId="49A3246F" w14:textId="2C034EAF" w:rsidR="000B2B7D" w:rsidRDefault="000E2AB6" w:rsidP="000B2B7D">
      <w:pPr>
        <w:pStyle w:val="TOC3"/>
        <w:rPr>
          <w:rFonts w:asciiTheme="minorHAnsi" w:eastAsiaTheme="minorEastAsia" w:hAnsiTheme="minorHAnsi" w:cstheme="minorBidi"/>
          <w:noProof/>
          <w:sz w:val="22"/>
          <w:rtl/>
        </w:rPr>
      </w:pPr>
      <w:hyperlink w:anchor="_Toc70425177" w:history="1">
        <w:r w:rsidR="000B2B7D" w:rsidRPr="00442C04">
          <w:rPr>
            <w:rStyle w:val="Hyperlink"/>
            <w:noProof/>
            <w:rtl/>
          </w:rPr>
          <w:t>תיקון סעיף 2</w:t>
        </w:r>
        <w:r w:rsidR="000B2B7D">
          <w:rPr>
            <w:noProof/>
            <w:webHidden/>
            <w:rtl/>
          </w:rPr>
          <w:tab/>
        </w:r>
        <w:r w:rsidR="000B2B7D">
          <w:rPr>
            <w:noProof/>
            <w:webHidden/>
            <w:rtl/>
          </w:rPr>
          <w:fldChar w:fldCharType="begin"/>
        </w:r>
        <w:r w:rsidR="000B2B7D">
          <w:rPr>
            <w:noProof/>
            <w:webHidden/>
            <w:rtl/>
          </w:rPr>
          <w:instrText xml:space="preserve"> </w:instrText>
        </w:r>
        <w:r w:rsidR="000B2B7D">
          <w:rPr>
            <w:noProof/>
            <w:webHidden/>
          </w:rPr>
          <w:instrText>PAGEREF</w:instrText>
        </w:r>
        <w:r w:rsidR="000B2B7D">
          <w:rPr>
            <w:noProof/>
            <w:webHidden/>
            <w:rtl/>
          </w:rPr>
          <w:instrText xml:space="preserve"> _</w:instrText>
        </w:r>
        <w:r w:rsidR="000B2B7D">
          <w:rPr>
            <w:noProof/>
            <w:webHidden/>
          </w:rPr>
          <w:instrText>Toc70425177 \h</w:instrText>
        </w:r>
        <w:r w:rsidR="000B2B7D">
          <w:rPr>
            <w:noProof/>
            <w:webHidden/>
            <w:rtl/>
          </w:rPr>
          <w:instrText xml:space="preserve"> </w:instrText>
        </w:r>
        <w:r w:rsidR="000B2B7D">
          <w:rPr>
            <w:noProof/>
            <w:webHidden/>
            <w:rtl/>
          </w:rPr>
        </w:r>
        <w:r w:rsidR="000B2B7D">
          <w:rPr>
            <w:noProof/>
            <w:webHidden/>
            <w:rtl/>
          </w:rPr>
          <w:fldChar w:fldCharType="separate"/>
        </w:r>
        <w:r w:rsidR="000B2B7D">
          <w:rPr>
            <w:noProof/>
            <w:webHidden/>
            <w:rtl/>
          </w:rPr>
          <w:t>3</w:t>
        </w:r>
        <w:r w:rsidR="000B2B7D">
          <w:rPr>
            <w:noProof/>
            <w:webHidden/>
            <w:rtl/>
          </w:rPr>
          <w:fldChar w:fldCharType="end"/>
        </w:r>
      </w:hyperlink>
    </w:p>
    <w:p w14:paraId="12B9920A" w14:textId="01B7B603" w:rsidR="000B2B7D" w:rsidRDefault="000E2AB6" w:rsidP="000B2B7D">
      <w:pPr>
        <w:pStyle w:val="TOC3"/>
        <w:rPr>
          <w:rFonts w:asciiTheme="minorHAnsi" w:eastAsiaTheme="minorEastAsia" w:hAnsiTheme="minorHAnsi" w:cstheme="minorBidi"/>
          <w:noProof/>
          <w:sz w:val="22"/>
          <w:rtl/>
        </w:rPr>
      </w:pPr>
      <w:hyperlink w:anchor="_Toc70425178" w:history="1">
        <w:r w:rsidR="000B2B7D" w:rsidRPr="00442C04">
          <w:rPr>
            <w:rStyle w:val="Hyperlink"/>
            <w:noProof/>
            <w:rtl/>
          </w:rPr>
          <w:t>תוקף</w:t>
        </w:r>
        <w:r w:rsidR="000B2B7D">
          <w:rPr>
            <w:noProof/>
            <w:webHidden/>
            <w:rtl/>
          </w:rPr>
          <w:tab/>
        </w:r>
        <w:r w:rsidR="000B2B7D">
          <w:rPr>
            <w:noProof/>
            <w:webHidden/>
            <w:rtl/>
          </w:rPr>
          <w:fldChar w:fldCharType="begin"/>
        </w:r>
        <w:r w:rsidR="000B2B7D">
          <w:rPr>
            <w:noProof/>
            <w:webHidden/>
            <w:rtl/>
          </w:rPr>
          <w:instrText xml:space="preserve"> </w:instrText>
        </w:r>
        <w:r w:rsidR="000B2B7D">
          <w:rPr>
            <w:noProof/>
            <w:webHidden/>
          </w:rPr>
          <w:instrText>PAGEREF</w:instrText>
        </w:r>
        <w:r w:rsidR="000B2B7D">
          <w:rPr>
            <w:noProof/>
            <w:webHidden/>
            <w:rtl/>
          </w:rPr>
          <w:instrText xml:space="preserve"> _</w:instrText>
        </w:r>
        <w:r w:rsidR="000B2B7D">
          <w:rPr>
            <w:noProof/>
            <w:webHidden/>
          </w:rPr>
          <w:instrText>Toc70425178 \h</w:instrText>
        </w:r>
        <w:r w:rsidR="000B2B7D">
          <w:rPr>
            <w:noProof/>
            <w:webHidden/>
            <w:rtl/>
          </w:rPr>
          <w:instrText xml:space="preserve"> </w:instrText>
        </w:r>
        <w:r w:rsidR="000B2B7D">
          <w:rPr>
            <w:noProof/>
            <w:webHidden/>
            <w:rtl/>
          </w:rPr>
        </w:r>
        <w:r w:rsidR="000B2B7D">
          <w:rPr>
            <w:noProof/>
            <w:webHidden/>
            <w:rtl/>
          </w:rPr>
          <w:fldChar w:fldCharType="separate"/>
        </w:r>
        <w:r w:rsidR="000B2B7D">
          <w:rPr>
            <w:noProof/>
            <w:webHidden/>
            <w:rtl/>
          </w:rPr>
          <w:t>3</w:t>
        </w:r>
        <w:r w:rsidR="000B2B7D">
          <w:rPr>
            <w:noProof/>
            <w:webHidden/>
            <w:rtl/>
          </w:rPr>
          <w:fldChar w:fldCharType="end"/>
        </w:r>
      </w:hyperlink>
    </w:p>
    <w:p w14:paraId="742449B2" w14:textId="2598F1DE" w:rsidR="000B2B7D" w:rsidRDefault="000E2AB6" w:rsidP="000B2B7D">
      <w:pPr>
        <w:pStyle w:val="TOC2"/>
        <w:rPr>
          <w:rFonts w:asciiTheme="minorHAnsi" w:eastAsiaTheme="minorEastAsia" w:hAnsiTheme="minorHAnsi" w:cstheme="minorBidi"/>
          <w:noProof/>
          <w:sz w:val="22"/>
          <w:rtl/>
        </w:rPr>
      </w:pPr>
      <w:hyperlink w:anchor="_Toc70425179" w:history="1">
        <w:r w:rsidR="000B2B7D" w:rsidRPr="00442C04">
          <w:rPr>
            <w:rStyle w:val="Hyperlink"/>
            <w:noProof/>
            <w:rtl/>
          </w:rPr>
          <w:t>דברי הסבר</w:t>
        </w:r>
        <w:r w:rsidR="000B2B7D">
          <w:rPr>
            <w:noProof/>
            <w:webHidden/>
            <w:rtl/>
          </w:rPr>
          <w:tab/>
        </w:r>
        <w:r w:rsidR="000B2B7D">
          <w:rPr>
            <w:noProof/>
            <w:webHidden/>
            <w:rtl/>
          </w:rPr>
          <w:fldChar w:fldCharType="begin"/>
        </w:r>
        <w:r w:rsidR="000B2B7D">
          <w:rPr>
            <w:noProof/>
            <w:webHidden/>
            <w:rtl/>
          </w:rPr>
          <w:instrText xml:space="preserve"> </w:instrText>
        </w:r>
        <w:r w:rsidR="000B2B7D">
          <w:rPr>
            <w:noProof/>
            <w:webHidden/>
          </w:rPr>
          <w:instrText>PAGEREF</w:instrText>
        </w:r>
        <w:r w:rsidR="000B2B7D">
          <w:rPr>
            <w:noProof/>
            <w:webHidden/>
            <w:rtl/>
          </w:rPr>
          <w:instrText xml:space="preserve"> _</w:instrText>
        </w:r>
        <w:r w:rsidR="000B2B7D">
          <w:rPr>
            <w:noProof/>
            <w:webHidden/>
          </w:rPr>
          <w:instrText>Toc70425179 \h</w:instrText>
        </w:r>
        <w:r w:rsidR="000B2B7D">
          <w:rPr>
            <w:noProof/>
            <w:webHidden/>
            <w:rtl/>
          </w:rPr>
          <w:instrText xml:space="preserve"> </w:instrText>
        </w:r>
        <w:r w:rsidR="000B2B7D">
          <w:rPr>
            <w:noProof/>
            <w:webHidden/>
            <w:rtl/>
          </w:rPr>
        </w:r>
        <w:r w:rsidR="000B2B7D">
          <w:rPr>
            <w:noProof/>
            <w:webHidden/>
            <w:rtl/>
          </w:rPr>
          <w:fldChar w:fldCharType="separate"/>
        </w:r>
        <w:r w:rsidR="000B2B7D">
          <w:rPr>
            <w:noProof/>
            <w:webHidden/>
            <w:rtl/>
          </w:rPr>
          <w:t>4</w:t>
        </w:r>
        <w:r w:rsidR="000B2B7D">
          <w:rPr>
            <w:noProof/>
            <w:webHidden/>
            <w:rtl/>
          </w:rPr>
          <w:fldChar w:fldCharType="end"/>
        </w:r>
      </w:hyperlink>
    </w:p>
    <w:p w14:paraId="2E0DC447" w14:textId="7C3653D2" w:rsidR="00C96577" w:rsidRDefault="000B2B7D" w:rsidP="000B2B7D">
      <w:pPr>
        <w:rPr>
          <w:snapToGrid w:val="0"/>
          <w:rtl/>
        </w:rPr>
      </w:pPr>
      <w:r>
        <w:rPr>
          <w:rtl/>
        </w:rPr>
        <w:fldChar w:fldCharType="end"/>
      </w:r>
      <w:r w:rsidR="00C96577">
        <w:rPr>
          <w:rtl/>
        </w:rPr>
        <w:br w:type="page"/>
      </w:r>
    </w:p>
    <w:p w14:paraId="3D5FBC6E" w14:textId="77777777" w:rsidR="003A35C0" w:rsidRDefault="003A35C0" w:rsidP="00755F90">
      <w:pPr>
        <w:pStyle w:val="Heading1"/>
        <w:keepNext w:val="0"/>
        <w:keepLines w:val="0"/>
      </w:pPr>
      <w:bookmarkStart w:id="1" w:name="_Toc69573020"/>
      <w:bookmarkStart w:id="2" w:name="_Toc69573037"/>
      <w:bookmarkStart w:id="3" w:name="_Toc70425170"/>
      <w:r>
        <w:rPr>
          <w:rtl/>
        </w:rPr>
        <w:lastRenderedPageBreak/>
        <w:t>טיוטת כללים</w:t>
      </w:r>
      <w:bookmarkEnd w:id="1"/>
      <w:bookmarkEnd w:id="2"/>
      <w:bookmarkEnd w:id="3"/>
    </w:p>
    <w:p w14:paraId="1CCC9870" w14:textId="77777777" w:rsidR="003A35C0" w:rsidRDefault="003A35C0" w:rsidP="00755F90">
      <w:pPr>
        <w:rPr>
          <w:rtl/>
        </w:rPr>
      </w:pPr>
    </w:p>
    <w:p w14:paraId="7000B74F" w14:textId="77777777" w:rsidR="003A35C0" w:rsidRDefault="003A35C0" w:rsidP="00755F90">
      <w:pPr>
        <w:pStyle w:val="Heading4"/>
        <w:rPr>
          <w:rtl/>
        </w:rPr>
      </w:pPr>
      <w:bookmarkStart w:id="4" w:name="_Toc69573038"/>
      <w:bookmarkStart w:id="5" w:name="_Toc70425171"/>
      <w:r>
        <w:rPr>
          <w:rFonts w:hint="cs"/>
          <w:rtl/>
        </w:rPr>
        <w:t>שם הכללים המוצעים</w:t>
      </w:r>
      <w:bookmarkEnd w:id="4"/>
      <w:bookmarkEnd w:id="5"/>
    </w:p>
    <w:p w14:paraId="66853B7F" w14:textId="4A3BE497" w:rsidR="003A35C0" w:rsidRDefault="00264D19" w:rsidP="0026274A">
      <w:pPr>
        <w:rPr>
          <w:rtl/>
        </w:rPr>
      </w:pPr>
      <w:r w:rsidRPr="00264D19">
        <w:rPr>
          <w:rtl/>
        </w:rPr>
        <w:t>כל</w:t>
      </w:r>
      <w:r w:rsidRPr="00264D19">
        <w:rPr>
          <w:rFonts w:hint="cs"/>
          <w:rtl/>
        </w:rPr>
        <w:t xml:space="preserve">לי </w:t>
      </w:r>
      <w:r w:rsidR="0026274A">
        <w:rPr>
          <w:rFonts w:hint="cs"/>
          <w:rtl/>
        </w:rPr>
        <w:t>התחרות הכלכלית</w:t>
      </w:r>
      <w:r w:rsidRPr="00264D19">
        <w:rPr>
          <w:rFonts w:hint="cs"/>
          <w:rtl/>
        </w:rPr>
        <w:t xml:space="preserve"> (פטור סוג להסכמי זכיינות) (הוראת שעה), </w:t>
      </w:r>
      <w:r w:rsidRPr="00264D19">
        <w:rPr>
          <w:rtl/>
        </w:rPr>
        <w:t>תש</w:t>
      </w:r>
      <w:r w:rsidR="00ED16FA">
        <w:rPr>
          <w:rFonts w:hint="cs"/>
          <w:rtl/>
        </w:rPr>
        <w:t>פ</w:t>
      </w:r>
      <w:r w:rsidRPr="00264D19">
        <w:rPr>
          <w:rtl/>
        </w:rPr>
        <w:t>"א</w:t>
      </w:r>
      <w:r w:rsidRPr="00264D19">
        <w:rPr>
          <w:rFonts w:hint="cs"/>
          <w:rtl/>
        </w:rPr>
        <w:t>-</w:t>
      </w:r>
      <w:r w:rsidRPr="00264D19">
        <w:rPr>
          <w:rtl/>
        </w:rPr>
        <w:t>20</w:t>
      </w:r>
      <w:r w:rsidR="00ED16FA">
        <w:rPr>
          <w:rFonts w:hint="cs"/>
          <w:rtl/>
        </w:rPr>
        <w:t>2</w:t>
      </w:r>
      <w:r w:rsidRPr="00264D19">
        <w:rPr>
          <w:rtl/>
        </w:rPr>
        <w:t>1</w:t>
      </w:r>
    </w:p>
    <w:p w14:paraId="51C3DE49" w14:textId="77777777" w:rsidR="000D2D28" w:rsidRDefault="000D2D28" w:rsidP="00264D19"/>
    <w:p w14:paraId="7A07A07B" w14:textId="77777777" w:rsidR="003A35C0" w:rsidRDefault="003A35C0" w:rsidP="009433F4">
      <w:pPr>
        <w:pStyle w:val="Heading4"/>
        <w:rPr>
          <w:rtl/>
        </w:rPr>
      </w:pPr>
      <w:bookmarkStart w:id="6" w:name="_Toc69573039"/>
      <w:bookmarkStart w:id="7" w:name="_Toc70425172"/>
      <w:r>
        <w:rPr>
          <w:rFonts w:hint="cs"/>
          <w:rtl/>
        </w:rPr>
        <w:t>מטרת הכללים המוצעים והצורך בהם</w:t>
      </w:r>
      <w:bookmarkEnd w:id="6"/>
      <w:bookmarkEnd w:id="7"/>
      <w:r>
        <w:rPr>
          <w:rFonts w:hint="cs"/>
          <w:rtl/>
        </w:rPr>
        <w:t xml:space="preserve"> </w:t>
      </w:r>
    </w:p>
    <w:p w14:paraId="6503B21A" w14:textId="4B323AFA" w:rsidR="00B44BA2" w:rsidRDefault="00B44BA2" w:rsidP="00947F09">
      <w:pPr>
        <w:rPr>
          <w:rtl/>
        </w:rPr>
      </w:pPr>
      <w:r>
        <w:rPr>
          <w:rtl/>
        </w:rPr>
        <w:t>ניהול עסקים בשיטת זכיינות מהווה מתכונת התקשרות חוזית שכיחה ומקובלת בקשת רחבה של ענפים במשק. הסכמי זכיינות מאפשרים לבעל הזיכיון להרחיב את תפוצת המותג שלו על ידי מתן רישיונות לשימוש בסימני המסחר שלו, או המערכת העסקית והידע המקצועי שלו לזכיינים הרוכשים את הזכות לבסס עצמם בתחום בעל הזיכיון, תוך שהם נהנים מהמוניטין והניסיון שנצברו על ידיו. בכך, הסכמי זכיינות</w:t>
      </w:r>
      <w:r w:rsidR="00755F90">
        <w:rPr>
          <w:rFonts w:hint="cs"/>
          <w:rtl/>
        </w:rPr>
        <w:t xml:space="preserve"> עשויים לשמש</w:t>
      </w:r>
      <w:r>
        <w:rPr>
          <w:rtl/>
        </w:rPr>
        <w:t xml:space="preserve"> אמצעי יעיל בידי בעלי עסקים להיכנס במהירות לשווקים חדשים תוך הפחתה משמעותית של עלויות וסיכונים</w:t>
      </w:r>
      <w:r w:rsidR="00755F90">
        <w:rPr>
          <w:rFonts w:hint="cs"/>
          <w:rtl/>
        </w:rPr>
        <w:t xml:space="preserve">.   ההסכמים כאמור </w:t>
      </w:r>
      <w:r w:rsidR="007B63FF">
        <w:rPr>
          <w:rFonts w:hint="cs"/>
          <w:rtl/>
        </w:rPr>
        <w:t>עשויים להפחית</w:t>
      </w:r>
      <w:r>
        <w:rPr>
          <w:rtl/>
        </w:rPr>
        <w:t xml:space="preserve"> את חסמי הכניסה הניצבים לפתחם של </w:t>
      </w:r>
      <w:r w:rsidR="00D14C40">
        <w:rPr>
          <w:rFonts w:hint="cs"/>
          <w:rtl/>
        </w:rPr>
        <w:t>שחקנים חדשים</w:t>
      </w:r>
      <w:r>
        <w:rPr>
          <w:rtl/>
        </w:rPr>
        <w:t xml:space="preserve">, </w:t>
      </w:r>
      <w:r w:rsidR="007B63FF">
        <w:rPr>
          <w:rFonts w:hint="cs"/>
          <w:rtl/>
        </w:rPr>
        <w:t>להג</w:t>
      </w:r>
      <w:r w:rsidR="007B63FF" w:rsidRPr="004235E1">
        <w:rPr>
          <w:rFonts w:hint="cs"/>
          <w:rtl/>
        </w:rPr>
        <w:t>ביר</w:t>
      </w:r>
      <w:r w:rsidR="007B63FF" w:rsidRPr="004235E1">
        <w:rPr>
          <w:rtl/>
        </w:rPr>
        <w:t xml:space="preserve"> </w:t>
      </w:r>
      <w:r w:rsidRPr="004235E1">
        <w:rPr>
          <w:rtl/>
        </w:rPr>
        <w:t xml:space="preserve">את התחרות הבין מותגית </w:t>
      </w:r>
      <w:r w:rsidR="007B63FF" w:rsidRPr="004235E1">
        <w:rPr>
          <w:rtl/>
        </w:rPr>
        <w:t>ו</w:t>
      </w:r>
      <w:r w:rsidR="007B63FF" w:rsidRPr="004235E1">
        <w:rPr>
          <w:rFonts w:hint="cs"/>
          <w:rtl/>
        </w:rPr>
        <w:t>להגדיל</w:t>
      </w:r>
      <w:r w:rsidR="007B63FF" w:rsidRPr="004235E1">
        <w:rPr>
          <w:rtl/>
        </w:rPr>
        <w:t xml:space="preserve"> </w:t>
      </w:r>
      <w:r w:rsidRPr="004235E1">
        <w:rPr>
          <w:rtl/>
        </w:rPr>
        <w:t>את היקף השימוש המסחרי בזכויות הקניין הרוחני שבידי בעל הזיכיון.</w:t>
      </w:r>
      <w:r w:rsidR="00495A94" w:rsidRPr="004235E1">
        <w:rPr>
          <w:rFonts w:hint="cs"/>
          <w:rtl/>
        </w:rPr>
        <w:t xml:space="preserve"> יחד עם זאת, הסכמי זכיינות עלולים להעלות </w:t>
      </w:r>
      <w:r w:rsidR="000A3D35" w:rsidRPr="004235E1">
        <w:rPr>
          <w:rFonts w:hint="cs"/>
          <w:rtl/>
        </w:rPr>
        <w:t xml:space="preserve">גם חששות תחרותיים של ממש. </w:t>
      </w:r>
      <w:r w:rsidR="00D14C40">
        <w:rPr>
          <w:rFonts w:hint="cs"/>
          <w:rtl/>
        </w:rPr>
        <w:t>כך למשל</w:t>
      </w:r>
      <w:r w:rsidR="00486657">
        <w:rPr>
          <w:rFonts w:hint="cs"/>
          <w:rtl/>
        </w:rPr>
        <w:t xml:space="preserve"> בנסיבות מסוימות </w:t>
      </w:r>
      <w:r w:rsidR="00D14C40">
        <w:rPr>
          <w:rFonts w:hint="cs"/>
          <w:rtl/>
        </w:rPr>
        <w:t xml:space="preserve">הסכמי זכיינות עשויים </w:t>
      </w:r>
      <w:r w:rsidR="00414721" w:rsidRPr="004235E1">
        <w:rPr>
          <w:rFonts w:hint="cs"/>
          <w:rtl/>
        </w:rPr>
        <w:t>להוביל לחלוקת שוק.</w:t>
      </w:r>
      <w:r w:rsidR="00414721">
        <w:rPr>
          <w:rFonts w:hint="cs"/>
          <w:rtl/>
        </w:rPr>
        <w:t xml:space="preserve"> </w:t>
      </w:r>
    </w:p>
    <w:p w14:paraId="23E13959" w14:textId="4C9C9FE6" w:rsidR="00130ED1" w:rsidRDefault="00B44BA2" w:rsidP="004235E1">
      <w:pPr>
        <w:rPr>
          <w:rtl/>
        </w:rPr>
      </w:pPr>
      <w:r>
        <w:rPr>
          <w:rtl/>
        </w:rPr>
        <w:t>כללי ההגבלים העסקיים (פטור סוג להסכמי זכיינות), תשס"א-2001 (להלן</w:t>
      </w:r>
      <w:r w:rsidRPr="008C7F5C">
        <w:rPr>
          <w:b/>
          <w:bCs/>
          <w:rtl/>
        </w:rPr>
        <w:t xml:space="preserve"> פטור הסוג</w:t>
      </w:r>
      <w:r w:rsidR="00130ED1">
        <w:rPr>
          <w:rFonts w:hint="cs"/>
          <w:b/>
          <w:bCs/>
          <w:rtl/>
        </w:rPr>
        <w:t xml:space="preserve"> להסכמי זכיינות</w:t>
      </w:r>
      <w:r>
        <w:rPr>
          <w:rtl/>
        </w:rPr>
        <w:t>)</w:t>
      </w:r>
      <w:r w:rsidR="009E49AB">
        <w:rPr>
          <w:rFonts w:hint="cs"/>
          <w:rtl/>
        </w:rPr>
        <w:t xml:space="preserve"> קבועים בהתאם לסעיף 15א לחוק התחרות הכלכלית, התשמ"ח-1988 (להלן </w:t>
      </w:r>
      <w:r w:rsidR="009E49AB">
        <w:rPr>
          <w:rFonts w:hint="cs"/>
          <w:b/>
          <w:bCs/>
          <w:rtl/>
        </w:rPr>
        <w:t>החוק</w:t>
      </w:r>
      <w:r w:rsidR="009E49AB">
        <w:rPr>
          <w:rFonts w:hint="cs"/>
          <w:rtl/>
        </w:rPr>
        <w:t>). פטור הסוג להסכמי זכיינות</w:t>
      </w:r>
      <w:r>
        <w:rPr>
          <w:rtl/>
        </w:rPr>
        <w:t xml:space="preserve"> מכיר ביתרונות של הסכמי זכיינות ומעניק, בהתקיים התנאים הקבועים </w:t>
      </w:r>
      <w:r w:rsidR="009E49AB">
        <w:rPr>
          <w:rtl/>
        </w:rPr>
        <w:t>ב</w:t>
      </w:r>
      <w:r w:rsidR="009E49AB">
        <w:rPr>
          <w:rFonts w:hint="cs"/>
          <w:rtl/>
        </w:rPr>
        <w:t>ו</w:t>
      </w:r>
      <w:r>
        <w:rPr>
          <w:rtl/>
        </w:rPr>
        <w:t>, פטור ל</w:t>
      </w:r>
      <w:r w:rsidR="009E49AB">
        <w:rPr>
          <w:rFonts w:hint="cs"/>
          <w:rtl/>
        </w:rPr>
        <w:t>הסכמי זכיינות ול</w:t>
      </w:r>
      <w:r>
        <w:rPr>
          <w:rtl/>
        </w:rPr>
        <w:t>כבילות מסוימות הנחוצות למימוש עיקרו של הסכם הזכיינות</w:t>
      </w:r>
      <w:r w:rsidR="009E49AB">
        <w:rPr>
          <w:rFonts w:hint="cs"/>
          <w:rtl/>
        </w:rPr>
        <w:t xml:space="preserve"> מהצורך בקבלת אישור מבית הדין לתחרות או פטור מהממונה על התחרות</w:t>
      </w:r>
      <w:r>
        <w:rPr>
          <w:rtl/>
        </w:rPr>
        <w:t xml:space="preserve">. </w:t>
      </w:r>
      <w:r w:rsidR="000D2D28">
        <w:rPr>
          <w:rFonts w:hint="cs"/>
          <w:rtl/>
        </w:rPr>
        <w:t>לצד פטור הסוג</w:t>
      </w:r>
      <w:r w:rsidR="009E49AB">
        <w:rPr>
          <w:rFonts w:hint="cs"/>
          <w:rtl/>
        </w:rPr>
        <w:t xml:space="preserve"> להסכמי זכיינות</w:t>
      </w:r>
      <w:r w:rsidR="005605F7">
        <w:rPr>
          <w:rFonts w:hint="cs"/>
          <w:rtl/>
        </w:rPr>
        <w:t xml:space="preserve"> חלים כללי ההגבלים העסקיים (פטור הסוג להסדרים שאינם אופקיים ואין בהם כבילות מחיר מסוימות</w:t>
      </w:r>
      <w:r w:rsidR="00130ED1">
        <w:rPr>
          <w:rFonts w:hint="cs"/>
          <w:rtl/>
        </w:rPr>
        <w:t>)</w:t>
      </w:r>
      <w:r w:rsidR="005605F7">
        <w:rPr>
          <w:rFonts w:hint="cs"/>
          <w:rtl/>
        </w:rPr>
        <w:t xml:space="preserve"> (הוראת שעה)</w:t>
      </w:r>
      <w:r w:rsidR="00130ED1">
        <w:rPr>
          <w:rFonts w:hint="cs"/>
          <w:rtl/>
        </w:rPr>
        <w:t>,</w:t>
      </w:r>
      <w:r w:rsidR="005605F7">
        <w:rPr>
          <w:rFonts w:hint="cs"/>
          <w:rtl/>
        </w:rPr>
        <w:t xml:space="preserve"> התשע"ג-2013</w:t>
      </w:r>
      <w:r w:rsidR="000D2D28">
        <w:rPr>
          <w:rFonts w:hint="cs"/>
          <w:rtl/>
        </w:rPr>
        <w:t xml:space="preserve"> </w:t>
      </w:r>
      <w:r w:rsidR="00130ED1">
        <w:rPr>
          <w:rFonts w:hint="cs"/>
          <w:rtl/>
        </w:rPr>
        <w:t xml:space="preserve">(להלן </w:t>
      </w:r>
      <w:r w:rsidR="00130ED1">
        <w:rPr>
          <w:rFonts w:hint="cs"/>
          <w:b/>
          <w:bCs/>
          <w:rtl/>
        </w:rPr>
        <w:t>פטור הסוג האנכי</w:t>
      </w:r>
      <w:r w:rsidR="00130ED1" w:rsidRPr="008C7F5C">
        <w:rPr>
          <w:rtl/>
        </w:rPr>
        <w:t>)</w:t>
      </w:r>
      <w:r w:rsidR="00130ED1">
        <w:rPr>
          <w:rFonts w:hint="cs"/>
          <w:rtl/>
        </w:rPr>
        <w:t xml:space="preserve"> </w:t>
      </w:r>
      <w:r w:rsidR="00130ED1">
        <w:rPr>
          <w:rFonts w:hint="cs"/>
          <w:rtl/>
        </w:rPr>
        <w:lastRenderedPageBreak/>
        <w:t>שקובעים שהסדרים הכלולים במסגרתם יהיו פטורים אם הם עומדים בבחינה מהותית של השפעת ההסדר על התחרות ובבחינת השאלה האם עיקרו של ההסדר הוא בפגיעה בתחרות</w:t>
      </w:r>
      <w:r w:rsidR="000D2D28">
        <w:rPr>
          <w:rFonts w:hint="cs"/>
          <w:rtl/>
        </w:rPr>
        <w:t xml:space="preserve">. </w:t>
      </w:r>
      <w:r w:rsidR="00130ED1">
        <w:rPr>
          <w:rFonts w:hint="cs"/>
          <w:rtl/>
        </w:rPr>
        <w:t>פטור הסוג האנכי עשוי לחול גם על הסכמי זכיינות שאינם עומדים ב</w:t>
      </w:r>
      <w:r w:rsidR="00AC1C51">
        <w:rPr>
          <w:rFonts w:hint="cs"/>
          <w:rtl/>
        </w:rPr>
        <w:t>תנאים</w:t>
      </w:r>
      <w:r w:rsidR="00130ED1">
        <w:rPr>
          <w:rFonts w:hint="cs"/>
          <w:rtl/>
        </w:rPr>
        <w:t xml:space="preserve"> הקבועים בפטור הסוג להסכמי זכיינות.</w:t>
      </w:r>
    </w:p>
    <w:p w14:paraId="718046D5" w14:textId="2C0EE654" w:rsidR="005704BF" w:rsidRDefault="009E0B90" w:rsidP="00755F90">
      <w:pPr>
        <w:rPr>
          <w:rtl/>
        </w:rPr>
      </w:pPr>
      <w:r>
        <w:rPr>
          <w:rFonts w:hint="cs"/>
          <w:rtl/>
        </w:rPr>
        <w:t>במסגרת התיקון מוצע לחדש את פטור הסוג לתק</w:t>
      </w:r>
      <w:r w:rsidR="00AB796A">
        <w:rPr>
          <w:rFonts w:hint="cs"/>
          <w:rtl/>
        </w:rPr>
        <w:t>ופה של 5 שנים</w:t>
      </w:r>
      <w:r w:rsidR="00235BD6">
        <w:rPr>
          <w:rFonts w:hint="cs"/>
          <w:rtl/>
        </w:rPr>
        <w:t xml:space="preserve">, זאת בהתחשב בניסיון שנצבר ברשות התחרות מאז הותקן לראשונה. כן מוצע להתאים את נוסח הוראות פטור הסוג </w:t>
      </w:r>
      <w:r w:rsidR="00440416">
        <w:rPr>
          <w:rFonts w:hint="cs"/>
          <w:rtl/>
        </w:rPr>
        <w:t xml:space="preserve">לתיקון מס' 21 לחוק במסגרתו שונה, בין היתר, שם </w:t>
      </w:r>
      <w:r w:rsidR="00CD60A7">
        <w:rPr>
          <w:rFonts w:hint="cs"/>
          <w:rtl/>
        </w:rPr>
        <w:t xml:space="preserve">החוק </w:t>
      </w:r>
      <w:r w:rsidR="00440416">
        <w:rPr>
          <w:rFonts w:hint="cs"/>
          <w:rtl/>
        </w:rPr>
        <w:t>ל</w:t>
      </w:r>
      <w:r w:rsidR="008A39D0">
        <w:rPr>
          <w:rFonts w:hint="cs"/>
          <w:rtl/>
        </w:rPr>
        <w:t>"</w:t>
      </w:r>
      <w:r w:rsidR="00440416">
        <w:rPr>
          <w:rFonts w:hint="cs"/>
          <w:rtl/>
        </w:rPr>
        <w:t>חוק התחרות הכלכלית</w:t>
      </w:r>
      <w:r w:rsidR="008A39D0">
        <w:rPr>
          <w:rFonts w:hint="cs"/>
          <w:rtl/>
        </w:rPr>
        <w:t>"</w:t>
      </w:r>
      <w:r w:rsidR="009E49AB">
        <w:rPr>
          <w:rFonts w:hint="cs"/>
          <w:rtl/>
        </w:rPr>
        <w:t xml:space="preserve"> ושם בית הדין שונה ל</w:t>
      </w:r>
      <w:r w:rsidR="008A39D0">
        <w:rPr>
          <w:rFonts w:hint="cs"/>
          <w:rtl/>
        </w:rPr>
        <w:t>"</w:t>
      </w:r>
      <w:r w:rsidR="009E49AB">
        <w:rPr>
          <w:rFonts w:hint="cs"/>
          <w:rtl/>
        </w:rPr>
        <w:t>בית הדין לתחרות</w:t>
      </w:r>
      <w:r w:rsidR="008A39D0">
        <w:rPr>
          <w:rFonts w:hint="cs"/>
          <w:rtl/>
        </w:rPr>
        <w:t>"</w:t>
      </w:r>
      <w:r w:rsidR="00AB796A">
        <w:rPr>
          <w:rFonts w:hint="cs"/>
          <w:rtl/>
        </w:rPr>
        <w:t xml:space="preserve">. </w:t>
      </w:r>
    </w:p>
    <w:p w14:paraId="6C6CD3F1" w14:textId="52A6F8A9" w:rsidR="000D2D28" w:rsidRDefault="000D2D28" w:rsidP="00755F90">
      <w:pPr>
        <w:rPr>
          <w:rtl/>
        </w:rPr>
      </w:pPr>
    </w:p>
    <w:p w14:paraId="75D7D326" w14:textId="5CF4876E" w:rsidR="003A35C0" w:rsidRDefault="003A35C0" w:rsidP="007B63FF">
      <w:pPr>
        <w:pStyle w:val="Heading4"/>
        <w:rPr>
          <w:rtl/>
        </w:rPr>
      </w:pPr>
      <w:bookmarkStart w:id="8" w:name="_Toc69573040"/>
      <w:bookmarkStart w:id="9" w:name="_Toc70425173"/>
      <w:r>
        <w:rPr>
          <w:rFonts w:hint="cs"/>
          <w:rtl/>
        </w:rPr>
        <w:t>להלן נוסח טיוטת הכללים המוצעים:</w:t>
      </w:r>
      <w:bookmarkEnd w:id="8"/>
      <w:bookmarkEnd w:id="9"/>
      <w:r>
        <w:rPr>
          <w:rFonts w:hint="cs"/>
          <w:rtl/>
        </w:rPr>
        <w:t xml:space="preserve"> </w:t>
      </w:r>
    </w:p>
    <w:p w14:paraId="73CC539C" w14:textId="15C445D7" w:rsidR="003A35C0" w:rsidRDefault="003A35C0" w:rsidP="007B63FF">
      <w:pPr>
        <w:bidi w:val="0"/>
      </w:pPr>
      <w:r>
        <w:rPr>
          <w:rtl/>
        </w:rPr>
        <w:br w:type="page"/>
      </w:r>
    </w:p>
    <w:p w14:paraId="77025BAB" w14:textId="42FDB3A6" w:rsidR="00ED16FA" w:rsidRPr="00ED16FA" w:rsidRDefault="008A39D0" w:rsidP="007B63FF">
      <w:pPr>
        <w:pStyle w:val="HeadHatzaotHok"/>
        <w:rPr>
          <w:rtl/>
        </w:rPr>
      </w:pPr>
      <w:bookmarkStart w:id="10" w:name="_Toc69573021"/>
      <w:bookmarkStart w:id="11" w:name="_Toc69573041"/>
      <w:bookmarkStart w:id="12" w:name="_Toc70425174"/>
      <w:r>
        <w:rPr>
          <w:rFonts w:hint="cs"/>
          <w:rtl/>
        </w:rPr>
        <w:lastRenderedPageBreak/>
        <w:t xml:space="preserve">טיוטת </w:t>
      </w:r>
      <w:r w:rsidR="00ED16FA" w:rsidRPr="00ED16FA">
        <w:rPr>
          <w:rtl/>
        </w:rPr>
        <w:t>כל</w:t>
      </w:r>
      <w:r w:rsidR="00ED16FA" w:rsidRPr="00ED16FA">
        <w:rPr>
          <w:rFonts w:hint="cs"/>
          <w:rtl/>
        </w:rPr>
        <w:t>לי ההגבלים העסקיים (פטור סוג להסכמי זכיינות) (הוראת שעה)</w:t>
      </w:r>
      <w:r w:rsidR="008C7F5C">
        <w:t>,</w:t>
      </w:r>
      <w:r w:rsidR="008C7F5C">
        <w:rPr>
          <w:rFonts w:hint="cs"/>
          <w:rtl/>
        </w:rPr>
        <w:t xml:space="preserve"> </w:t>
      </w:r>
      <w:r w:rsidR="00ED16FA" w:rsidRPr="00ED16FA">
        <w:rPr>
          <w:rtl/>
        </w:rPr>
        <w:t>תש</w:t>
      </w:r>
      <w:r w:rsidR="00ED16FA" w:rsidRPr="00ED16FA">
        <w:rPr>
          <w:rFonts w:hint="cs"/>
          <w:rtl/>
        </w:rPr>
        <w:t>פ</w:t>
      </w:r>
      <w:r w:rsidR="00ED16FA" w:rsidRPr="00ED16FA">
        <w:rPr>
          <w:rtl/>
        </w:rPr>
        <w:t>"א</w:t>
      </w:r>
      <w:r w:rsidR="00ED16FA" w:rsidRPr="00ED16FA">
        <w:rPr>
          <w:rFonts w:hint="cs"/>
          <w:rtl/>
        </w:rPr>
        <w:t>-</w:t>
      </w:r>
      <w:r w:rsidR="00ED16FA" w:rsidRPr="00ED16FA">
        <w:rPr>
          <w:rtl/>
        </w:rPr>
        <w:t>20</w:t>
      </w:r>
      <w:r w:rsidR="00ED16FA" w:rsidRPr="00ED16FA">
        <w:rPr>
          <w:rFonts w:hint="cs"/>
          <w:rtl/>
        </w:rPr>
        <w:t>2</w:t>
      </w:r>
      <w:r w:rsidR="00ED16FA" w:rsidRPr="00ED16FA">
        <w:rPr>
          <w:rtl/>
        </w:rPr>
        <w:t>1</w:t>
      </w:r>
      <w:bookmarkEnd w:id="10"/>
      <w:bookmarkEnd w:id="11"/>
      <w:bookmarkEnd w:id="12"/>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3A35C0" w:rsidRPr="00F159EE" w14:paraId="53276650" w14:textId="77777777" w:rsidTr="00B80E80">
        <w:trPr>
          <w:cantSplit/>
          <w:trHeight w:val="60"/>
        </w:trPr>
        <w:tc>
          <w:tcPr>
            <w:tcW w:w="1871" w:type="dxa"/>
          </w:tcPr>
          <w:p w14:paraId="0DB00144" w14:textId="77777777" w:rsidR="003A35C0" w:rsidRPr="00F159EE" w:rsidRDefault="003A35C0">
            <w:pPr>
              <w:pStyle w:val="TableSideHeading"/>
              <w:rPr>
                <w:rFonts w:ascii="David" w:hAnsi="David"/>
                <w:sz w:val="26"/>
                <w:rtl/>
              </w:rPr>
            </w:pPr>
          </w:p>
        </w:tc>
        <w:tc>
          <w:tcPr>
            <w:tcW w:w="624" w:type="dxa"/>
          </w:tcPr>
          <w:p w14:paraId="342D43CE" w14:textId="77777777" w:rsidR="003A35C0" w:rsidRPr="00F159EE" w:rsidRDefault="003A35C0">
            <w:pPr>
              <w:pStyle w:val="TableText"/>
              <w:rPr>
                <w:rFonts w:ascii="David" w:hAnsi="David"/>
                <w:sz w:val="26"/>
              </w:rPr>
            </w:pPr>
          </w:p>
        </w:tc>
        <w:tc>
          <w:tcPr>
            <w:tcW w:w="7146" w:type="dxa"/>
            <w:hideMark/>
          </w:tcPr>
          <w:p w14:paraId="478EFA5C" w14:textId="2EDB7E28" w:rsidR="003A35C0" w:rsidRPr="00F159EE" w:rsidRDefault="003A35C0" w:rsidP="00801CEC">
            <w:pPr>
              <w:pStyle w:val="TableBlock"/>
              <w:rPr>
                <w:rFonts w:ascii="David" w:hAnsi="David"/>
                <w:sz w:val="26"/>
              </w:rPr>
            </w:pPr>
            <w:r w:rsidRPr="00F159EE">
              <w:rPr>
                <w:rFonts w:ascii="David" w:hAnsi="David"/>
                <w:sz w:val="26"/>
                <w:rtl/>
              </w:rPr>
              <w:t>בתוקף סמכותי לפי סעיף</w:t>
            </w:r>
            <w:r w:rsidR="00286F55" w:rsidRPr="00F159EE">
              <w:rPr>
                <w:rFonts w:ascii="David" w:hAnsi="David"/>
                <w:sz w:val="26"/>
                <w:rtl/>
              </w:rPr>
              <w:t xml:space="preserve"> 15א לחוק </w:t>
            </w:r>
            <w:r w:rsidR="00CC4B65" w:rsidRPr="00F159EE">
              <w:rPr>
                <w:rFonts w:ascii="David" w:hAnsi="David"/>
                <w:sz w:val="26"/>
                <w:rtl/>
              </w:rPr>
              <w:t>התחרות הכלכלית</w:t>
            </w:r>
            <w:r w:rsidR="00286F55" w:rsidRPr="00F159EE">
              <w:rPr>
                <w:rFonts w:ascii="David" w:hAnsi="David"/>
                <w:sz w:val="26"/>
                <w:rtl/>
              </w:rPr>
              <w:t>, התשמ"ח-1988</w:t>
            </w:r>
            <w:r w:rsidR="0034368F" w:rsidRPr="00F159EE">
              <w:rPr>
                <w:rFonts w:ascii="David" w:hAnsi="David"/>
                <w:sz w:val="26"/>
                <w:rtl/>
              </w:rPr>
              <w:t>, ובאישור הוועדה לפטורים ולמיזוגים, אני מתקינה כללי פטור סוג אלה</w:t>
            </w:r>
            <w:r w:rsidR="00E76FDB">
              <w:rPr>
                <w:rStyle w:val="FootnoteReference"/>
                <w:rFonts w:ascii="David" w:hAnsi="David"/>
                <w:sz w:val="26"/>
                <w:rtl/>
              </w:rPr>
              <w:footnoteReference w:id="1"/>
            </w:r>
            <w:r w:rsidRPr="00F159EE">
              <w:rPr>
                <w:rFonts w:ascii="David" w:hAnsi="David"/>
                <w:sz w:val="26"/>
                <w:rtl/>
              </w:rPr>
              <w:t>:</w:t>
            </w:r>
          </w:p>
        </w:tc>
      </w:tr>
      <w:tr w:rsidR="003A35C0" w:rsidRPr="00F159EE" w14:paraId="042A2070" w14:textId="77777777" w:rsidTr="00B80E80">
        <w:trPr>
          <w:cantSplit/>
          <w:trHeight w:val="60"/>
        </w:trPr>
        <w:tc>
          <w:tcPr>
            <w:tcW w:w="1871" w:type="dxa"/>
          </w:tcPr>
          <w:p w14:paraId="1A892884" w14:textId="77777777" w:rsidR="003A35C0" w:rsidRPr="00F159EE" w:rsidRDefault="0034368F">
            <w:pPr>
              <w:pStyle w:val="TableSideHeading"/>
              <w:rPr>
                <w:rFonts w:ascii="David" w:hAnsi="David"/>
                <w:sz w:val="26"/>
              </w:rPr>
            </w:pPr>
            <w:bookmarkStart w:id="13" w:name="_Toc69573022"/>
            <w:bookmarkStart w:id="14" w:name="_Toc69573042"/>
            <w:bookmarkStart w:id="15" w:name="_Toc70425175"/>
            <w:r w:rsidRPr="00F159EE">
              <w:rPr>
                <w:rFonts w:ascii="David" w:hAnsi="David"/>
                <w:sz w:val="26"/>
                <w:rtl/>
              </w:rPr>
              <w:t>תיקון השם</w:t>
            </w:r>
            <w:bookmarkEnd w:id="13"/>
            <w:bookmarkEnd w:id="14"/>
            <w:bookmarkEnd w:id="15"/>
          </w:p>
        </w:tc>
        <w:tc>
          <w:tcPr>
            <w:tcW w:w="624" w:type="dxa"/>
          </w:tcPr>
          <w:p w14:paraId="1AE40B86" w14:textId="77777777" w:rsidR="003A35C0" w:rsidRPr="00F159EE" w:rsidRDefault="003A35C0" w:rsidP="003A35C0">
            <w:pPr>
              <w:pStyle w:val="TableText"/>
              <w:numPr>
                <w:ilvl w:val="0"/>
                <w:numId w:val="2"/>
              </w:numPr>
              <w:rPr>
                <w:rFonts w:ascii="David" w:hAnsi="David"/>
                <w:sz w:val="26"/>
              </w:rPr>
            </w:pPr>
          </w:p>
        </w:tc>
        <w:tc>
          <w:tcPr>
            <w:tcW w:w="7146" w:type="dxa"/>
          </w:tcPr>
          <w:p w14:paraId="399AD6AB" w14:textId="3B6C5C90" w:rsidR="003A35C0" w:rsidRPr="00F159EE" w:rsidRDefault="00A74EB8" w:rsidP="00ED16FA">
            <w:pPr>
              <w:pStyle w:val="TableBlock"/>
              <w:rPr>
                <w:rFonts w:ascii="David" w:hAnsi="David"/>
                <w:sz w:val="26"/>
              </w:rPr>
            </w:pPr>
            <w:r>
              <w:rPr>
                <w:rFonts w:ascii="David" w:hAnsi="David" w:hint="cs"/>
                <w:sz w:val="26"/>
                <w:rtl/>
              </w:rPr>
              <w:t>ב</w:t>
            </w:r>
            <w:r w:rsidR="00ED16FA" w:rsidRPr="00F159EE">
              <w:rPr>
                <w:rFonts w:ascii="David" w:hAnsi="David"/>
                <w:sz w:val="26"/>
                <w:rtl/>
              </w:rPr>
              <w:t xml:space="preserve">כללי ההגבלים העסקיים (פטור סוג להסכמי זכיינות) (הוראת שעה), </w:t>
            </w:r>
            <w:r w:rsidR="00ED16FA" w:rsidRPr="00F159EE">
              <w:rPr>
                <w:rFonts w:ascii="David" w:hAnsi="David"/>
                <w:sz w:val="26"/>
                <w:rtl/>
              </w:rPr>
              <w:br/>
              <w:t xml:space="preserve">תשס"א-2001 </w:t>
            </w:r>
            <w:r w:rsidR="0034368F" w:rsidRPr="00F159EE">
              <w:rPr>
                <w:rFonts w:ascii="David" w:hAnsi="David"/>
                <w:sz w:val="26"/>
                <w:rtl/>
              </w:rPr>
              <w:t xml:space="preserve">(להלן – הכללים העיקריים) </w:t>
            </w:r>
            <w:r w:rsidR="006B1CDF" w:rsidRPr="00F159EE">
              <w:rPr>
                <w:rFonts w:ascii="David" w:hAnsi="David"/>
                <w:sz w:val="26"/>
                <w:rtl/>
              </w:rPr>
              <w:t xml:space="preserve">במקום שם הכללים העיקריים יבוא: "כללי התחרות הכלכלית </w:t>
            </w:r>
            <w:r w:rsidR="00ED16FA" w:rsidRPr="00F159EE">
              <w:rPr>
                <w:rFonts w:ascii="David" w:hAnsi="David"/>
                <w:sz w:val="26"/>
                <w:rtl/>
              </w:rPr>
              <w:t xml:space="preserve">(פטור סוג להסכמי זכיינות) (הוראת שעה), </w:t>
            </w:r>
            <w:r w:rsidR="00ED16FA" w:rsidRPr="00F159EE">
              <w:rPr>
                <w:rFonts w:ascii="David" w:hAnsi="David"/>
                <w:sz w:val="26"/>
                <w:rtl/>
              </w:rPr>
              <w:br/>
              <w:t>תשס"א-2001</w:t>
            </w:r>
            <w:r w:rsidR="006B1CDF" w:rsidRPr="00F159EE">
              <w:rPr>
                <w:rFonts w:ascii="David" w:hAnsi="David"/>
                <w:sz w:val="26"/>
                <w:rtl/>
              </w:rPr>
              <w:t xml:space="preserve">". </w:t>
            </w:r>
          </w:p>
        </w:tc>
      </w:tr>
      <w:tr w:rsidR="006B1CDF" w:rsidRPr="00F159EE" w14:paraId="6BC7CEAB" w14:textId="77777777" w:rsidTr="00B80E80">
        <w:trPr>
          <w:cantSplit/>
          <w:trHeight w:val="60"/>
        </w:trPr>
        <w:tc>
          <w:tcPr>
            <w:tcW w:w="1871" w:type="dxa"/>
          </w:tcPr>
          <w:p w14:paraId="5F2B12A5" w14:textId="77777777" w:rsidR="006B1CDF" w:rsidRPr="00F159EE" w:rsidRDefault="006B1CDF" w:rsidP="00755F90">
            <w:pPr>
              <w:pStyle w:val="TableSideHeading"/>
              <w:keepLines w:val="0"/>
              <w:rPr>
                <w:rFonts w:ascii="David" w:hAnsi="David"/>
                <w:sz w:val="26"/>
              </w:rPr>
            </w:pPr>
            <w:bookmarkStart w:id="16" w:name="_Toc69573023"/>
            <w:bookmarkStart w:id="17" w:name="_Toc69573043"/>
            <w:bookmarkStart w:id="18" w:name="_Toc70425176"/>
            <w:r w:rsidRPr="00F159EE">
              <w:rPr>
                <w:rFonts w:ascii="David" w:hAnsi="David"/>
                <w:sz w:val="26"/>
                <w:rtl/>
              </w:rPr>
              <w:t>תיקון הפתיח</w:t>
            </w:r>
            <w:bookmarkEnd w:id="16"/>
            <w:bookmarkEnd w:id="17"/>
            <w:bookmarkEnd w:id="18"/>
          </w:p>
        </w:tc>
        <w:tc>
          <w:tcPr>
            <w:tcW w:w="624" w:type="dxa"/>
          </w:tcPr>
          <w:p w14:paraId="1277395B" w14:textId="77777777" w:rsidR="006B1CDF" w:rsidRPr="00F159EE" w:rsidRDefault="006B1CDF" w:rsidP="006B1CDF">
            <w:pPr>
              <w:pStyle w:val="TableText"/>
              <w:keepLines w:val="0"/>
              <w:numPr>
                <w:ilvl w:val="0"/>
                <w:numId w:val="4"/>
              </w:numPr>
              <w:rPr>
                <w:rFonts w:ascii="David" w:hAnsi="David"/>
                <w:sz w:val="26"/>
              </w:rPr>
            </w:pPr>
          </w:p>
        </w:tc>
        <w:tc>
          <w:tcPr>
            <w:tcW w:w="7146" w:type="dxa"/>
          </w:tcPr>
          <w:p w14:paraId="02E023BD" w14:textId="77777777" w:rsidR="006B1CDF" w:rsidRPr="00F159EE" w:rsidRDefault="006B1CDF" w:rsidP="00755F90">
            <w:pPr>
              <w:pStyle w:val="TableBlock"/>
              <w:keepLines w:val="0"/>
              <w:rPr>
                <w:rFonts w:ascii="David" w:hAnsi="David"/>
                <w:sz w:val="26"/>
              </w:rPr>
            </w:pPr>
            <w:r w:rsidRPr="00F159EE">
              <w:rPr>
                <w:rFonts w:ascii="David" w:hAnsi="David"/>
                <w:sz w:val="26"/>
                <w:rtl/>
              </w:rPr>
              <w:t>בכללים העיקריים, ברישה במקום "ההגבלים העסקיים" יבוא "התחרות הכלכלית".</w:t>
            </w:r>
          </w:p>
        </w:tc>
      </w:tr>
      <w:tr w:rsidR="00E95BDD" w:rsidRPr="00F159EE" w14:paraId="435A42D9" w14:textId="77777777" w:rsidTr="00B80E80">
        <w:trPr>
          <w:cantSplit/>
          <w:trHeight w:val="60"/>
        </w:trPr>
        <w:tc>
          <w:tcPr>
            <w:tcW w:w="1871" w:type="dxa"/>
          </w:tcPr>
          <w:p w14:paraId="61460047" w14:textId="77777777" w:rsidR="00E95BDD" w:rsidRPr="00F159EE" w:rsidRDefault="00FA200F" w:rsidP="00755F90">
            <w:pPr>
              <w:pStyle w:val="TableSideHeading"/>
              <w:keepLines w:val="0"/>
              <w:rPr>
                <w:rFonts w:ascii="David" w:hAnsi="David"/>
                <w:sz w:val="26"/>
              </w:rPr>
            </w:pPr>
            <w:bookmarkStart w:id="19" w:name="_Toc69573024"/>
            <w:bookmarkStart w:id="20" w:name="_Toc69573044"/>
            <w:bookmarkStart w:id="21" w:name="_Toc70425177"/>
            <w:r w:rsidRPr="00F159EE">
              <w:rPr>
                <w:rFonts w:ascii="David" w:hAnsi="David"/>
                <w:sz w:val="26"/>
                <w:rtl/>
              </w:rPr>
              <w:t>תיקון סעיף</w:t>
            </w:r>
            <w:r w:rsidR="00E95BDD" w:rsidRPr="00F159EE">
              <w:rPr>
                <w:rFonts w:ascii="David" w:hAnsi="David"/>
                <w:sz w:val="26"/>
                <w:rtl/>
              </w:rPr>
              <w:t xml:space="preserve"> 2</w:t>
            </w:r>
            <w:bookmarkEnd w:id="19"/>
            <w:bookmarkEnd w:id="20"/>
            <w:bookmarkEnd w:id="21"/>
          </w:p>
        </w:tc>
        <w:tc>
          <w:tcPr>
            <w:tcW w:w="624" w:type="dxa"/>
          </w:tcPr>
          <w:p w14:paraId="55859515" w14:textId="77777777" w:rsidR="00E95BDD" w:rsidRPr="00F159EE" w:rsidRDefault="00E95BDD" w:rsidP="00E95BDD">
            <w:pPr>
              <w:pStyle w:val="TableText"/>
              <w:keepLines w:val="0"/>
              <w:numPr>
                <w:ilvl w:val="0"/>
                <w:numId w:val="4"/>
              </w:numPr>
              <w:rPr>
                <w:rFonts w:ascii="David" w:hAnsi="David"/>
                <w:sz w:val="26"/>
              </w:rPr>
            </w:pPr>
          </w:p>
        </w:tc>
        <w:tc>
          <w:tcPr>
            <w:tcW w:w="7146" w:type="dxa"/>
          </w:tcPr>
          <w:p w14:paraId="00B5390C" w14:textId="5EA26E3A" w:rsidR="00E95BDD" w:rsidRPr="00F159EE" w:rsidRDefault="00E95BDD" w:rsidP="00F159EE">
            <w:pPr>
              <w:pStyle w:val="TableBlock"/>
              <w:keepLines w:val="0"/>
              <w:tabs>
                <w:tab w:val="left" w:pos="6214"/>
              </w:tabs>
              <w:rPr>
                <w:rFonts w:ascii="David" w:hAnsi="David"/>
                <w:sz w:val="26"/>
              </w:rPr>
            </w:pPr>
            <w:r w:rsidRPr="00F159EE">
              <w:rPr>
                <w:rFonts w:ascii="David" w:hAnsi="David"/>
                <w:sz w:val="26"/>
                <w:rtl/>
              </w:rPr>
              <w:t>בסעיף 2 לכללים העיקריים</w:t>
            </w:r>
            <w:r w:rsidR="00EA6B9C" w:rsidRPr="00F159EE">
              <w:rPr>
                <w:rFonts w:ascii="David" w:hAnsi="David"/>
                <w:sz w:val="26"/>
                <w:rtl/>
              </w:rPr>
              <w:t>, במקום "להגבלים עסקיים" יבוא "לתחרות".</w:t>
            </w:r>
          </w:p>
        </w:tc>
      </w:tr>
      <w:tr w:rsidR="0011103E" w:rsidRPr="00F159EE" w14:paraId="3A545A17" w14:textId="77777777">
        <w:trPr>
          <w:cantSplit/>
          <w:trHeight w:val="60"/>
        </w:trPr>
        <w:tc>
          <w:tcPr>
            <w:tcW w:w="1871" w:type="dxa"/>
          </w:tcPr>
          <w:p w14:paraId="15CBA486" w14:textId="77777777" w:rsidR="0011103E" w:rsidRPr="00F159EE" w:rsidRDefault="0011103E" w:rsidP="00755F90">
            <w:pPr>
              <w:pStyle w:val="TableSideHeading"/>
              <w:keepLines w:val="0"/>
              <w:rPr>
                <w:rFonts w:ascii="David" w:hAnsi="David"/>
                <w:sz w:val="26"/>
              </w:rPr>
            </w:pPr>
            <w:bookmarkStart w:id="22" w:name="_Toc69573025"/>
            <w:bookmarkStart w:id="23" w:name="_Toc69573045"/>
            <w:bookmarkStart w:id="24" w:name="_Toc70425178"/>
            <w:r w:rsidRPr="00F159EE">
              <w:rPr>
                <w:rFonts w:ascii="David" w:hAnsi="David"/>
                <w:sz w:val="26"/>
                <w:rtl/>
              </w:rPr>
              <w:t>תוקף</w:t>
            </w:r>
            <w:bookmarkEnd w:id="22"/>
            <w:bookmarkEnd w:id="23"/>
            <w:bookmarkEnd w:id="24"/>
          </w:p>
        </w:tc>
        <w:tc>
          <w:tcPr>
            <w:tcW w:w="624" w:type="dxa"/>
          </w:tcPr>
          <w:p w14:paraId="407374F5" w14:textId="77777777" w:rsidR="0011103E" w:rsidRPr="00F159EE" w:rsidRDefault="0011103E" w:rsidP="0011103E">
            <w:pPr>
              <w:pStyle w:val="TableText"/>
              <w:keepLines w:val="0"/>
              <w:numPr>
                <w:ilvl w:val="0"/>
                <w:numId w:val="4"/>
              </w:numPr>
              <w:rPr>
                <w:rFonts w:ascii="David" w:hAnsi="David"/>
                <w:sz w:val="26"/>
              </w:rPr>
            </w:pPr>
          </w:p>
        </w:tc>
        <w:tc>
          <w:tcPr>
            <w:tcW w:w="7146" w:type="dxa"/>
          </w:tcPr>
          <w:p w14:paraId="285AB166" w14:textId="039D1938" w:rsidR="0011103E" w:rsidRPr="00F159EE" w:rsidRDefault="008A39D0" w:rsidP="008A39D0">
            <w:pPr>
              <w:pStyle w:val="TableBlock"/>
              <w:keepLines w:val="0"/>
              <w:rPr>
                <w:rFonts w:ascii="David" w:hAnsi="David"/>
                <w:sz w:val="26"/>
              </w:rPr>
            </w:pPr>
            <w:r>
              <w:rPr>
                <w:rFonts w:ascii="David" w:hAnsi="David" w:hint="cs"/>
                <w:sz w:val="26"/>
                <w:rtl/>
              </w:rPr>
              <w:t xml:space="preserve">תוקף כללים אלה עד יום </w:t>
            </w:r>
            <w:r w:rsidR="00D23850" w:rsidRPr="00F159EE">
              <w:rPr>
                <w:rFonts w:ascii="David" w:hAnsi="David"/>
                <w:sz w:val="26"/>
                <w:rtl/>
              </w:rPr>
              <w:t>ד' בתשרי התשפ"ז (15 בספטמבר 2026)</w:t>
            </w:r>
            <w:r>
              <w:rPr>
                <w:rFonts w:ascii="David" w:hAnsi="David" w:hint="cs"/>
                <w:sz w:val="26"/>
                <w:rtl/>
              </w:rPr>
              <w:t>.</w:t>
            </w:r>
            <w:r w:rsidR="00D23850" w:rsidRPr="00F159EE">
              <w:rPr>
                <w:rFonts w:ascii="David" w:hAnsi="David"/>
                <w:sz w:val="26"/>
                <w:rtl/>
              </w:rPr>
              <w:t>.</w:t>
            </w:r>
          </w:p>
        </w:tc>
      </w:tr>
    </w:tbl>
    <w:p w14:paraId="5110FB7F" w14:textId="77777777" w:rsidR="003A35C0" w:rsidRDefault="003A35C0" w:rsidP="00755F90"/>
    <w:p w14:paraId="138D1A7F" w14:textId="77777777" w:rsidR="003A35C0" w:rsidRDefault="003A35C0" w:rsidP="00755F90">
      <w:pPr>
        <w:rPr>
          <w:rtl/>
        </w:rPr>
      </w:pPr>
    </w:p>
    <w:p w14:paraId="273E2812" w14:textId="77777777" w:rsidR="003A35C0" w:rsidRDefault="003A35C0" w:rsidP="00755F90">
      <w:pPr>
        <w:rPr>
          <w:rFonts w:eastAsia="Calibri"/>
          <w:rtl/>
        </w:rPr>
      </w:pPr>
      <w:r>
        <w:rPr>
          <w:rFonts w:eastAsia="Calibri" w:hint="cs"/>
          <w:rtl/>
        </w:rPr>
        <w:t>___ ב________ התש_______ (___ ב________ ____20)</w:t>
      </w:r>
    </w:p>
    <w:p w14:paraId="1693FB48" w14:textId="77777777" w:rsidR="003A35C0" w:rsidRDefault="003A35C0" w:rsidP="00755F90">
      <w:pPr>
        <w:rPr>
          <w:rFonts w:eastAsia="Calibri"/>
          <w:rtl/>
        </w:rPr>
      </w:pPr>
      <w:r>
        <w:rPr>
          <w:rFonts w:eastAsia="Calibri" w:hint="cs"/>
          <w:rtl/>
        </w:rPr>
        <w:t>[תאריך עברי] ([תאריך לועזי])</w:t>
      </w:r>
    </w:p>
    <w:p w14:paraId="461BAA3C" w14:textId="77777777" w:rsidR="003A35C0" w:rsidRDefault="003A35C0" w:rsidP="00755F90">
      <w:pPr>
        <w:rPr>
          <w:rFonts w:eastAsia="Calibri"/>
          <w:rtl/>
        </w:rPr>
      </w:pPr>
      <w:r>
        <w:rPr>
          <w:rFonts w:eastAsia="Calibri" w:hint="cs"/>
          <w:rtl/>
        </w:rPr>
        <w:t>(חמ _____-3)</w:t>
      </w:r>
    </w:p>
    <w:p w14:paraId="2E5E98AA" w14:textId="77777777" w:rsidR="003A35C0" w:rsidRDefault="003A35C0" w:rsidP="00755F90">
      <w:pPr>
        <w:rPr>
          <w:rFonts w:eastAsia="Calibri"/>
          <w:rtl/>
        </w:rPr>
      </w:pPr>
    </w:p>
    <w:p w14:paraId="1539ED71" w14:textId="77777777" w:rsidR="00A45EED" w:rsidRPr="00A45EED" w:rsidRDefault="00A45EED" w:rsidP="00A45EED">
      <w:pPr>
        <w:ind w:left="5760"/>
        <w:jc w:val="center"/>
        <w:rPr>
          <w:rFonts w:eastAsia="Calibri"/>
        </w:rPr>
      </w:pPr>
      <w:r w:rsidRPr="00A45EED">
        <w:rPr>
          <w:rFonts w:eastAsia="Calibri" w:hint="cs"/>
          <w:rtl/>
        </w:rPr>
        <w:lastRenderedPageBreak/>
        <w:t>__________________</w:t>
      </w:r>
    </w:p>
    <w:p w14:paraId="6A56B8E7" w14:textId="77777777" w:rsidR="00A45EED" w:rsidRPr="00A45EED" w:rsidRDefault="00A45EED" w:rsidP="00A45EED">
      <w:pPr>
        <w:ind w:left="5760"/>
        <w:jc w:val="center"/>
        <w:rPr>
          <w:rFonts w:eastAsia="Calibri"/>
          <w:rtl/>
        </w:rPr>
      </w:pPr>
      <w:r w:rsidRPr="00A45EED">
        <w:rPr>
          <w:rFonts w:eastAsia="Calibri" w:hint="cs"/>
          <w:rtl/>
        </w:rPr>
        <w:t>מיכל הלפרין</w:t>
      </w:r>
    </w:p>
    <w:p w14:paraId="1C00603E" w14:textId="77777777" w:rsidR="00A45EED" w:rsidRPr="00A45EED" w:rsidRDefault="00A45EED" w:rsidP="00A45EED">
      <w:pPr>
        <w:ind w:left="5760"/>
        <w:jc w:val="center"/>
        <w:rPr>
          <w:rFonts w:eastAsia="Calibri"/>
          <w:rtl/>
        </w:rPr>
      </w:pPr>
      <w:r w:rsidRPr="00A45EED">
        <w:rPr>
          <w:rFonts w:eastAsia="Calibri" w:hint="cs"/>
          <w:rtl/>
        </w:rPr>
        <w:t>הממונה על התחרות</w:t>
      </w:r>
    </w:p>
    <w:p w14:paraId="5578FAB2" w14:textId="77777777" w:rsidR="00A45EED" w:rsidRPr="00A45EED" w:rsidRDefault="00A45EED" w:rsidP="00A45EED">
      <w:pPr>
        <w:ind w:left="5760"/>
        <w:jc w:val="center"/>
        <w:rPr>
          <w:rFonts w:eastAsia="Calibri"/>
          <w:rtl/>
        </w:rPr>
      </w:pPr>
    </w:p>
    <w:p w14:paraId="1D366624" w14:textId="77777777" w:rsidR="00A45EED" w:rsidRPr="00A45EED" w:rsidRDefault="00A45EED" w:rsidP="00A45EED">
      <w:pPr>
        <w:ind w:left="5760"/>
        <w:jc w:val="center"/>
        <w:rPr>
          <w:rFonts w:eastAsia="Calibri"/>
          <w:rtl/>
        </w:rPr>
      </w:pPr>
    </w:p>
    <w:p w14:paraId="4AF946FF" w14:textId="271D3623" w:rsidR="00A45EED" w:rsidRPr="00A45EED" w:rsidRDefault="00615F58" w:rsidP="00A45EED">
      <w:pPr>
        <w:ind w:left="5760"/>
        <w:jc w:val="center"/>
        <w:rPr>
          <w:rFonts w:eastAsia="Calibri"/>
          <w:rtl/>
        </w:rPr>
      </w:pPr>
      <w:r>
        <w:rPr>
          <w:rFonts w:eastAsia="Calibri" w:hint="cs"/>
          <w:rtl/>
        </w:rPr>
        <w:t>__________________</w:t>
      </w:r>
    </w:p>
    <w:p w14:paraId="58258F42" w14:textId="77777777" w:rsidR="00A45EED" w:rsidRPr="00A45EED" w:rsidRDefault="00A45EED" w:rsidP="00A45EED">
      <w:pPr>
        <w:ind w:left="5760"/>
        <w:jc w:val="center"/>
        <w:rPr>
          <w:rFonts w:eastAsia="Calibri"/>
          <w:rtl/>
        </w:rPr>
      </w:pPr>
      <w:r w:rsidRPr="00A45EED">
        <w:rPr>
          <w:rFonts w:eastAsia="Calibri" w:hint="cs"/>
          <w:rtl/>
        </w:rPr>
        <w:t>[שם מלא של המתקין]</w:t>
      </w:r>
    </w:p>
    <w:p w14:paraId="33F5C306" w14:textId="37D02336" w:rsidR="00A45EED" w:rsidRDefault="00615F58" w:rsidP="00A45EED">
      <w:pPr>
        <w:ind w:left="5760"/>
        <w:jc w:val="center"/>
        <w:rPr>
          <w:rFonts w:eastAsia="Calibri"/>
          <w:rtl/>
        </w:rPr>
      </w:pPr>
      <w:r>
        <w:rPr>
          <w:rFonts w:eastAsia="Calibri" w:hint="cs"/>
          <w:rtl/>
        </w:rPr>
        <w:t>שר הכלכלה</w:t>
      </w:r>
    </w:p>
    <w:p w14:paraId="46E3B2B9" w14:textId="284C3076" w:rsidR="00615F58" w:rsidRDefault="00615F58" w:rsidP="00A45EED">
      <w:pPr>
        <w:ind w:left="5760"/>
        <w:jc w:val="center"/>
        <w:rPr>
          <w:rFonts w:eastAsia="Calibri"/>
          <w:rtl/>
        </w:rPr>
      </w:pPr>
    </w:p>
    <w:p w14:paraId="0DEBDCC3" w14:textId="2C80D9AA" w:rsidR="00615F58" w:rsidRDefault="00615F58" w:rsidP="00A45EED">
      <w:pPr>
        <w:ind w:left="5760"/>
        <w:jc w:val="center"/>
        <w:rPr>
          <w:rFonts w:eastAsia="Calibri"/>
          <w:rtl/>
        </w:rPr>
      </w:pPr>
    </w:p>
    <w:p w14:paraId="662B2AC5" w14:textId="2114A381" w:rsidR="00615F58" w:rsidRDefault="00615F58" w:rsidP="00A45EED">
      <w:pPr>
        <w:ind w:left="5760"/>
        <w:jc w:val="center"/>
        <w:rPr>
          <w:rFonts w:eastAsia="Calibri"/>
          <w:rtl/>
        </w:rPr>
      </w:pPr>
    </w:p>
    <w:p w14:paraId="5EBE684F" w14:textId="330FEF37" w:rsidR="00615F58" w:rsidRDefault="00615F58" w:rsidP="00A45EED">
      <w:pPr>
        <w:ind w:left="5760"/>
        <w:jc w:val="center"/>
        <w:rPr>
          <w:rFonts w:eastAsia="Calibri"/>
          <w:rtl/>
        </w:rPr>
      </w:pPr>
    </w:p>
    <w:p w14:paraId="0558E08F" w14:textId="3DAB7DAE" w:rsidR="00C60320" w:rsidRDefault="00C60320" w:rsidP="00A45EED">
      <w:pPr>
        <w:ind w:left="5760"/>
        <w:jc w:val="center"/>
        <w:rPr>
          <w:rFonts w:eastAsia="Calibri"/>
          <w:rtl/>
        </w:rPr>
      </w:pPr>
    </w:p>
    <w:p w14:paraId="77014ABC" w14:textId="77777777" w:rsidR="00C60320" w:rsidRDefault="00C60320" w:rsidP="00A45EED">
      <w:pPr>
        <w:ind w:left="5760"/>
        <w:jc w:val="center"/>
        <w:rPr>
          <w:rFonts w:eastAsia="Calibri"/>
          <w:rtl/>
        </w:rPr>
      </w:pPr>
    </w:p>
    <w:p w14:paraId="2BDD13AB" w14:textId="77777777" w:rsidR="00615F58" w:rsidRPr="00A45EED" w:rsidRDefault="00615F58" w:rsidP="00A45EED">
      <w:pPr>
        <w:ind w:left="5760"/>
        <w:jc w:val="center"/>
        <w:rPr>
          <w:rFonts w:eastAsia="Calibri"/>
          <w:rtl/>
        </w:rPr>
      </w:pPr>
    </w:p>
    <w:p w14:paraId="031561FB" w14:textId="77777777" w:rsidR="003A35C0" w:rsidRDefault="003A35C0" w:rsidP="00755F90">
      <w:pPr>
        <w:pStyle w:val="HeadDivreiHesber"/>
        <w:rPr>
          <w:rtl/>
        </w:rPr>
      </w:pPr>
      <w:bookmarkStart w:id="25" w:name="_Toc69573026"/>
      <w:bookmarkStart w:id="26" w:name="_Toc69573046"/>
      <w:bookmarkStart w:id="27" w:name="_Toc70425179"/>
      <w:r>
        <w:rPr>
          <w:rtl/>
        </w:rPr>
        <w:t>דברי הסבר</w:t>
      </w:r>
      <w:bookmarkEnd w:id="25"/>
      <w:bookmarkEnd w:id="26"/>
      <w:bookmarkEnd w:id="27"/>
    </w:p>
    <w:p w14:paraId="12A908B2" w14:textId="2C7AD3A5" w:rsidR="00E67D4C" w:rsidRDefault="00E67D4C" w:rsidP="005933B1">
      <w:pPr>
        <w:rPr>
          <w:rtl/>
        </w:rPr>
      </w:pPr>
      <w:r>
        <w:rPr>
          <w:rtl/>
        </w:rPr>
        <w:t xml:space="preserve">ניהול עסקים בשיטת זכיינות מהווה מתכונת התקשרות חוזית שכיחה ומקובלת בקשת רחבה של ענפים במשק. הסכמי זכיינות מאפשרים לבעל הזיכיון להרחיב את תפוצת המותג שלו על ידי מתן רישיונות לשימוש בסימני המסחר שלו, או המערכת העסקית והידע המקצועי שלו לזכיינים הרוכשים את הזכות לבסס עצמם בתחום בעל הזיכיון, תוך שהם נהנים מהמוניטין והניסיון שנצברו על ידיו. </w:t>
      </w:r>
      <w:r>
        <w:rPr>
          <w:rtl/>
        </w:rPr>
        <w:lastRenderedPageBreak/>
        <w:t>בכך, הסכמי זכיינות</w:t>
      </w:r>
      <w:r>
        <w:rPr>
          <w:rFonts w:hint="cs"/>
          <w:rtl/>
        </w:rPr>
        <w:t xml:space="preserve"> עשויים לשמש</w:t>
      </w:r>
      <w:r>
        <w:rPr>
          <w:rtl/>
        </w:rPr>
        <w:t xml:space="preserve"> אמצעי יעיל בידי בעלי עסקים להיכנס במהירות לשווקים חדשים תוך הפחתה משמעותית של עלויות וסיכונים</w:t>
      </w:r>
      <w:r>
        <w:rPr>
          <w:rFonts w:hint="cs"/>
          <w:rtl/>
        </w:rPr>
        <w:t>.   ההסכמים כאמור עשויים להפחית</w:t>
      </w:r>
      <w:r>
        <w:rPr>
          <w:rtl/>
        </w:rPr>
        <w:t xml:space="preserve"> את חסמי הכניסה הניצבים לפתחם של </w:t>
      </w:r>
      <w:r>
        <w:rPr>
          <w:rFonts w:hint="cs"/>
          <w:rtl/>
        </w:rPr>
        <w:t>שחקנים חדשים</w:t>
      </w:r>
      <w:r>
        <w:rPr>
          <w:rtl/>
        </w:rPr>
        <w:t xml:space="preserve">, </w:t>
      </w:r>
      <w:r>
        <w:rPr>
          <w:rFonts w:hint="cs"/>
          <w:rtl/>
        </w:rPr>
        <w:t>להג</w:t>
      </w:r>
      <w:r w:rsidRPr="004235E1">
        <w:rPr>
          <w:rFonts w:hint="cs"/>
          <w:rtl/>
        </w:rPr>
        <w:t>ביר</w:t>
      </w:r>
      <w:r w:rsidRPr="004235E1">
        <w:rPr>
          <w:rtl/>
        </w:rPr>
        <w:t xml:space="preserve"> את התחרות הבין מותגית ו</w:t>
      </w:r>
      <w:r w:rsidRPr="004235E1">
        <w:rPr>
          <w:rFonts w:hint="cs"/>
          <w:rtl/>
        </w:rPr>
        <w:t>להגדיל</w:t>
      </w:r>
      <w:r w:rsidRPr="004235E1">
        <w:rPr>
          <w:rtl/>
        </w:rPr>
        <w:t xml:space="preserve"> את היקף השימוש המסחרי בזכויות הקניין הרוחני שבידי בעל הזיכיון.</w:t>
      </w:r>
      <w:r w:rsidRPr="004235E1">
        <w:rPr>
          <w:rFonts w:hint="cs"/>
          <w:rtl/>
        </w:rPr>
        <w:t xml:space="preserve"> יחד עם זאת, הסכמי זכיינות עלולים להעלות גם חששות תחרותיים של ממש. </w:t>
      </w:r>
      <w:r>
        <w:rPr>
          <w:rFonts w:hint="cs"/>
          <w:rtl/>
        </w:rPr>
        <w:t xml:space="preserve">כך למשל בנסיבות מסוימות הסכמי זכיינות עשויים </w:t>
      </w:r>
      <w:r w:rsidRPr="004235E1">
        <w:rPr>
          <w:rFonts w:hint="cs"/>
          <w:rtl/>
        </w:rPr>
        <w:t>להוביל לחלוקת שוק.</w:t>
      </w:r>
      <w:r>
        <w:rPr>
          <w:rFonts w:hint="cs"/>
          <w:rtl/>
        </w:rPr>
        <w:t xml:space="preserve"> </w:t>
      </w:r>
    </w:p>
    <w:p w14:paraId="79BF5A1F" w14:textId="77777777" w:rsidR="00E67D4C" w:rsidRDefault="00E67D4C" w:rsidP="00E67D4C">
      <w:pPr>
        <w:rPr>
          <w:rtl/>
        </w:rPr>
      </w:pPr>
      <w:r>
        <w:rPr>
          <w:rtl/>
        </w:rPr>
        <w:t>כללי ההגבלים העסקיים (פטור סוג להסכמי זכיינות), תשס"א-2001 (להלן</w:t>
      </w:r>
      <w:r w:rsidRPr="008C7F5C">
        <w:rPr>
          <w:b/>
          <w:bCs/>
          <w:rtl/>
        </w:rPr>
        <w:t xml:space="preserve"> פטור הסוג</w:t>
      </w:r>
      <w:r>
        <w:rPr>
          <w:rFonts w:hint="cs"/>
          <w:b/>
          <w:bCs/>
          <w:rtl/>
        </w:rPr>
        <w:t xml:space="preserve"> להסכמי זכיינות</w:t>
      </w:r>
      <w:r>
        <w:rPr>
          <w:rtl/>
        </w:rPr>
        <w:t>)</w:t>
      </w:r>
      <w:r>
        <w:rPr>
          <w:rFonts w:hint="cs"/>
          <w:rtl/>
        </w:rPr>
        <w:t xml:space="preserve"> קבועים בהתאם לסעיף 15א לחוק התחרות הכלכלית, התשמ"ח-1988 (להלן </w:t>
      </w:r>
      <w:r>
        <w:rPr>
          <w:rFonts w:hint="cs"/>
          <w:b/>
          <w:bCs/>
          <w:rtl/>
        </w:rPr>
        <w:t>החוק</w:t>
      </w:r>
      <w:r>
        <w:rPr>
          <w:rFonts w:hint="cs"/>
          <w:rtl/>
        </w:rPr>
        <w:t>). פטור הסוג להסכמי זכיינות</w:t>
      </w:r>
      <w:r>
        <w:rPr>
          <w:rtl/>
        </w:rPr>
        <w:t xml:space="preserve"> מכיר ביתרונות של הסכמי זכיינות ומעניק, בהתקיים התנאים הקבועים ב</w:t>
      </w:r>
      <w:r>
        <w:rPr>
          <w:rFonts w:hint="cs"/>
          <w:rtl/>
        </w:rPr>
        <w:t>ו</w:t>
      </w:r>
      <w:r>
        <w:rPr>
          <w:rtl/>
        </w:rPr>
        <w:t>, פטור ל</w:t>
      </w:r>
      <w:r>
        <w:rPr>
          <w:rFonts w:hint="cs"/>
          <w:rtl/>
        </w:rPr>
        <w:t>הסכמי זכיינות ול</w:t>
      </w:r>
      <w:r>
        <w:rPr>
          <w:rtl/>
        </w:rPr>
        <w:t>כבילות מסוימות הנחוצות למימוש עיקרו של הסכם הזכיינות</w:t>
      </w:r>
      <w:r>
        <w:rPr>
          <w:rFonts w:hint="cs"/>
          <w:rtl/>
        </w:rPr>
        <w:t xml:space="preserve"> מהצורך בקבלת אישור מבית הדין לתחרות או פטור מהממונה על התחרות</w:t>
      </w:r>
      <w:r>
        <w:rPr>
          <w:rtl/>
        </w:rPr>
        <w:t xml:space="preserve">. </w:t>
      </w:r>
      <w:r>
        <w:rPr>
          <w:rFonts w:hint="cs"/>
          <w:rtl/>
        </w:rPr>
        <w:t xml:space="preserve">לצד פטור הסוג להסכמי זכיינות חלים כללי ההגבלים העסקיים (פטור הסוג להסדרים שאינם אופקיים ואין בהם כבילות מחיר מסוימות) (הוראת שעה), התשע"ג-2013 (להלן </w:t>
      </w:r>
      <w:r>
        <w:rPr>
          <w:rFonts w:hint="cs"/>
          <w:b/>
          <w:bCs/>
          <w:rtl/>
        </w:rPr>
        <w:t>פטור הסוג האנכי</w:t>
      </w:r>
      <w:r w:rsidRPr="008C7F5C">
        <w:rPr>
          <w:rtl/>
        </w:rPr>
        <w:t>)</w:t>
      </w:r>
      <w:r>
        <w:rPr>
          <w:rFonts w:hint="cs"/>
          <w:rtl/>
        </w:rPr>
        <w:t xml:space="preserve"> שקובעים שהסדרים הכלולים במסגרתם יהיו פטורים אם הם עומדים בבחינה מהותית של השפעת ההסדר על התחרות ובבחינת השאלה האם עיקרו של ההסדר הוא בפגיעה בתחרות. פטור הסוג האנכי עשוי לחול גם על הסכמי זכיינות שאינם עומדים בתנאים הקבועים בפטור הסוג להסכמי זכיינות.</w:t>
      </w:r>
    </w:p>
    <w:p w14:paraId="3CF13FB6" w14:textId="77777777" w:rsidR="00E67D4C" w:rsidRDefault="00E67D4C" w:rsidP="00E67D4C">
      <w:pPr>
        <w:rPr>
          <w:rtl/>
        </w:rPr>
      </w:pPr>
      <w:r>
        <w:rPr>
          <w:rFonts w:hint="cs"/>
          <w:rtl/>
        </w:rPr>
        <w:t xml:space="preserve">במסגרת התיקון מוצע לחדש את פטור הסוג לתקופה של 5 שנים, זאת בהתחשב בניסיון שנצבר ברשות התחרות מאז הותקן לראשונה. כן מוצע להתאים את נוסח הוראות פטור הסוג לתיקון מס' 21 לחוק במסגרתו שונה, בין היתר, שם החוק ל"חוק התחרות הכלכלית" ושם בית הדין שונה ל"בית הדין לתחרות". </w:t>
      </w:r>
    </w:p>
    <w:p w14:paraId="57BD8623" w14:textId="1C82CFCF" w:rsidR="000D29C2" w:rsidRPr="008C7F5C" w:rsidRDefault="0091728C" w:rsidP="0091728C">
      <w:pPr>
        <w:rPr>
          <w:b/>
          <w:bCs/>
          <w:rtl/>
        </w:rPr>
      </w:pPr>
      <w:r>
        <w:rPr>
          <w:rFonts w:hint="cs"/>
          <w:b/>
          <w:bCs/>
          <w:rtl/>
        </w:rPr>
        <w:t>סעיפים 1-2</w:t>
      </w:r>
    </w:p>
    <w:p w14:paraId="0585B729" w14:textId="7024DAAE" w:rsidR="00801CEC" w:rsidRDefault="000D29C2" w:rsidP="000D29C2">
      <w:pPr>
        <w:rPr>
          <w:rtl/>
        </w:rPr>
      </w:pPr>
      <w:r>
        <w:rPr>
          <w:rFonts w:hint="cs"/>
          <w:rtl/>
        </w:rPr>
        <w:t>מוצע להתאים את נוסח הוראות פטור הסוג לתיקון מס' 21 לחוק התחרות הכלכלית, התשמ"ח-1988.</w:t>
      </w:r>
      <w:r w:rsidR="00801CEC">
        <w:rPr>
          <w:rFonts w:hint="cs"/>
          <w:rtl/>
        </w:rPr>
        <w:t xml:space="preserve"> במסגרתו שונה, בין היתר, שם החוק מ"חוק ההגבלים העסקיים" ל"חוק התחרות הכלכלית"</w:t>
      </w:r>
      <w:r>
        <w:rPr>
          <w:rFonts w:hint="cs"/>
          <w:rtl/>
        </w:rPr>
        <w:t xml:space="preserve"> ושמו של בית הדין ל</w:t>
      </w:r>
      <w:r w:rsidR="0091728C">
        <w:rPr>
          <w:rFonts w:hint="cs"/>
          <w:rtl/>
        </w:rPr>
        <w:t>"</w:t>
      </w:r>
      <w:r>
        <w:rPr>
          <w:rFonts w:hint="cs"/>
          <w:rtl/>
        </w:rPr>
        <w:t>בית הדין לתחרות</w:t>
      </w:r>
      <w:r w:rsidR="0091728C">
        <w:rPr>
          <w:rFonts w:hint="cs"/>
          <w:rtl/>
        </w:rPr>
        <w:t>"</w:t>
      </w:r>
      <w:r w:rsidR="00801CEC">
        <w:rPr>
          <w:rFonts w:hint="cs"/>
          <w:rtl/>
        </w:rPr>
        <w:t>.</w:t>
      </w:r>
    </w:p>
    <w:p w14:paraId="21C40B1A" w14:textId="135B0E40" w:rsidR="004135B1" w:rsidRDefault="001F3FBA" w:rsidP="005B034B">
      <w:pPr>
        <w:rPr>
          <w:rtl/>
        </w:rPr>
      </w:pPr>
      <w:r>
        <w:rPr>
          <w:rFonts w:hint="cs"/>
          <w:b/>
          <w:bCs/>
          <w:rtl/>
        </w:rPr>
        <w:t>תוקף</w:t>
      </w:r>
    </w:p>
    <w:p w14:paraId="78EAB3F1" w14:textId="2CB3AC09" w:rsidR="004135B1" w:rsidRPr="004135B1" w:rsidRDefault="004135B1" w:rsidP="00795653">
      <w:pPr>
        <w:rPr>
          <w:rtl/>
        </w:rPr>
      </w:pPr>
      <w:r>
        <w:rPr>
          <w:rFonts w:hint="cs"/>
          <w:rtl/>
        </w:rPr>
        <w:t>מוצע לחדש את פטור הסוג לתקופה של 5 שנים וזאת לאור הניסיון שנצבר ברשות התחרות</w:t>
      </w:r>
      <w:r w:rsidR="009F1541">
        <w:rPr>
          <w:rFonts w:hint="cs"/>
          <w:rtl/>
        </w:rPr>
        <w:t xml:space="preserve"> עד כה</w:t>
      </w:r>
      <w:r>
        <w:rPr>
          <w:rFonts w:hint="cs"/>
          <w:rtl/>
        </w:rPr>
        <w:t xml:space="preserve"> </w:t>
      </w:r>
      <w:r w:rsidR="00CC4B65">
        <w:rPr>
          <w:rFonts w:hint="cs"/>
          <w:rtl/>
        </w:rPr>
        <w:t>לפיו</w:t>
      </w:r>
      <w:r w:rsidR="009F1541">
        <w:rPr>
          <w:rFonts w:hint="cs"/>
          <w:rtl/>
        </w:rPr>
        <w:t>,</w:t>
      </w:r>
      <w:r w:rsidR="00CC4B65">
        <w:rPr>
          <w:rFonts w:hint="cs"/>
          <w:rtl/>
        </w:rPr>
        <w:t xml:space="preserve"> למיטב הידיעה</w:t>
      </w:r>
      <w:r w:rsidR="009F1541">
        <w:rPr>
          <w:rFonts w:hint="cs"/>
          <w:rtl/>
        </w:rPr>
        <w:t>,</w:t>
      </w:r>
      <w:r w:rsidR="00CC4B65">
        <w:rPr>
          <w:rFonts w:hint="cs"/>
          <w:rtl/>
        </w:rPr>
        <w:t xml:space="preserve"> </w:t>
      </w:r>
      <w:r w:rsidR="00CC4B65" w:rsidRPr="00CC4B65">
        <w:rPr>
          <w:rtl/>
        </w:rPr>
        <w:t xml:space="preserve">פטור הסוג </w:t>
      </w:r>
      <w:r w:rsidR="00CC4B65" w:rsidRPr="00CC4B65">
        <w:rPr>
          <w:rtl/>
        </w:rPr>
        <w:lastRenderedPageBreak/>
        <w:t>אינו מעלה חששות לפגיעה בתחרות</w:t>
      </w:r>
      <w:r w:rsidR="00795653">
        <w:rPr>
          <w:rFonts w:hint="cs"/>
          <w:rtl/>
        </w:rPr>
        <w:t xml:space="preserve"> או בציבור</w:t>
      </w:r>
      <w:r>
        <w:rPr>
          <w:rFonts w:hint="cs"/>
          <w:rtl/>
        </w:rPr>
        <w:t xml:space="preserve">. </w:t>
      </w:r>
    </w:p>
    <w:p w14:paraId="5F061A09" w14:textId="77777777" w:rsidR="00705762" w:rsidRDefault="00705762">
      <w:pPr>
        <w:rPr>
          <w:rtl/>
        </w:rPr>
      </w:pPr>
    </w:p>
    <w:p w14:paraId="0821C448" w14:textId="77777777" w:rsidR="004135B1" w:rsidRPr="00705762" w:rsidRDefault="004135B1"/>
    <w:sectPr w:rsidR="004135B1" w:rsidRPr="00705762" w:rsidSect="003A35C0">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EC0C2" w14:textId="77777777" w:rsidR="00EE117E" w:rsidRDefault="00EE117E" w:rsidP="00153312">
      <w:pPr>
        <w:spacing w:line="240" w:lineRule="auto"/>
      </w:pPr>
      <w:r>
        <w:separator/>
      </w:r>
    </w:p>
  </w:endnote>
  <w:endnote w:type="continuationSeparator" w:id="0">
    <w:p w14:paraId="03677C5F" w14:textId="77777777" w:rsidR="00EE117E" w:rsidRDefault="00EE117E" w:rsidP="001533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6F3F4" w14:textId="77777777" w:rsidR="00EE117E" w:rsidRDefault="00EE117E" w:rsidP="00F2001B">
      <w:pPr>
        <w:spacing w:line="240" w:lineRule="auto"/>
        <w:ind w:left="0"/>
      </w:pPr>
      <w:r>
        <w:separator/>
      </w:r>
    </w:p>
  </w:footnote>
  <w:footnote w:type="continuationSeparator" w:id="0">
    <w:p w14:paraId="567DE99B" w14:textId="77777777" w:rsidR="00EE117E" w:rsidRDefault="00EE117E" w:rsidP="00153312">
      <w:pPr>
        <w:spacing w:line="240" w:lineRule="auto"/>
      </w:pPr>
      <w:r>
        <w:continuationSeparator/>
      </w:r>
    </w:p>
  </w:footnote>
  <w:footnote w:id="1">
    <w:p w14:paraId="024452E1" w14:textId="77777777" w:rsidR="00755F90" w:rsidRPr="00E76FDB" w:rsidRDefault="00755F90" w:rsidP="00E76FDB">
      <w:pPr>
        <w:pStyle w:val="FootnoteText"/>
        <w:rPr>
          <w:rtl/>
        </w:rPr>
      </w:pPr>
      <w:r>
        <w:rPr>
          <w:rStyle w:val="FootnoteReference"/>
        </w:rPr>
        <w:footnoteRef/>
      </w:r>
      <w:r>
        <w:rPr>
          <w:rtl/>
        </w:rPr>
        <w:t xml:space="preserve"> </w:t>
      </w:r>
      <w:r w:rsidRPr="00E76FDB">
        <w:rPr>
          <w:rFonts w:hint="cs"/>
          <w:rtl/>
        </w:rPr>
        <w:t xml:space="preserve">ס"ח התשמ"ח, עמ' 128; התש"ס, עמ' 113. </w:t>
      </w:r>
    </w:p>
    <w:p w14:paraId="3583850C" w14:textId="7101396B" w:rsidR="00755F90" w:rsidRDefault="00755F90">
      <w:pPr>
        <w:pStyle w:val="FootnoteText"/>
        <w:rPr>
          <w:rt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6929B2"/>
    <w:multiLevelType w:val="hybridMultilevel"/>
    <w:tmpl w:val="76D444D4"/>
    <w:lvl w:ilvl="0" w:tplc="ACD4EAA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1CB325F9"/>
    <w:multiLevelType w:val="hybridMultilevel"/>
    <w:tmpl w:val="1464834C"/>
    <w:lvl w:ilvl="0" w:tplc="C554C8A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3FCE"/>
    <w:multiLevelType w:val="hybridMultilevel"/>
    <w:tmpl w:val="EFEE0606"/>
    <w:lvl w:ilvl="0" w:tplc="1D34DA38">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832BE"/>
    <w:multiLevelType w:val="hybridMultilevel"/>
    <w:tmpl w:val="D9ECE078"/>
    <w:lvl w:ilvl="0" w:tplc="6BCAB2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40655"/>
    <w:multiLevelType w:val="hybridMultilevel"/>
    <w:tmpl w:val="1D8837F0"/>
    <w:lvl w:ilvl="0" w:tplc="6DB668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C6F4C06"/>
    <w:multiLevelType w:val="hybridMultilevel"/>
    <w:tmpl w:val="A6D25086"/>
    <w:lvl w:ilvl="0" w:tplc="ECBEF3AC">
      <w:start w:val="1"/>
      <w:numFmt w:val="decimal"/>
      <w:lvlRestart w:val="0"/>
      <w:lvlText w:val="(%1)"/>
      <w:lvlJc w:val="left"/>
      <w:pPr>
        <w:tabs>
          <w:tab w:val="num" w:pos="765"/>
        </w:tabs>
        <w:ind w:left="141" w:firstLine="0"/>
      </w:p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20" w15:restartNumberingAfterBreak="0">
    <w:nsid w:val="74C04768"/>
    <w:multiLevelType w:val="hybridMultilevel"/>
    <w:tmpl w:val="3A68FDC2"/>
    <w:lvl w:ilvl="0" w:tplc="5BFEA9E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3C544D"/>
    <w:multiLevelType w:val="hybridMultilevel"/>
    <w:tmpl w:val="C7443990"/>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813833"/>
    <w:multiLevelType w:val="hybridMultilevel"/>
    <w:tmpl w:val="92068260"/>
    <w:lvl w:ilvl="0" w:tplc="9C8AD86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1"/>
  </w:num>
  <w:num w:numId="5">
    <w:abstractNumId w:val="13"/>
  </w:num>
  <w:num w:numId="6">
    <w:abstractNumId w:val="23"/>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6"/>
  </w:num>
  <w:num w:numId="17">
    <w:abstractNumId w:val="16"/>
    <w:lvlOverride w:ilvl="0">
      <w:startOverride w:val="1"/>
    </w:lvlOverride>
  </w:num>
  <w:num w:numId="18">
    <w:abstractNumId w:val="11"/>
  </w:num>
  <w:num w:numId="19">
    <w:abstractNumId w:val="18"/>
  </w:num>
  <w:num w:numId="20">
    <w:abstractNumId w:val="22"/>
  </w:num>
  <w:num w:numId="21">
    <w:abstractNumId w:val="19"/>
  </w:num>
  <w:num w:numId="22">
    <w:abstractNumId w:val="14"/>
  </w:num>
  <w:num w:numId="23">
    <w:abstractNumId w:val="20"/>
  </w:num>
  <w:num w:numId="24">
    <w:abstractNumId w:val="15"/>
  </w:num>
  <w:num w:numId="25">
    <w:abstractNumId w:val="17"/>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C0"/>
    <w:rsid w:val="000A3D35"/>
    <w:rsid w:val="000B2417"/>
    <w:rsid w:val="000B2B7D"/>
    <w:rsid w:val="000C3936"/>
    <w:rsid w:val="000D29C2"/>
    <w:rsid w:val="000D2D28"/>
    <w:rsid w:val="000E2AB6"/>
    <w:rsid w:val="000E583D"/>
    <w:rsid w:val="000E6627"/>
    <w:rsid w:val="00101CFB"/>
    <w:rsid w:val="0010269A"/>
    <w:rsid w:val="0011103E"/>
    <w:rsid w:val="00130ED1"/>
    <w:rsid w:val="00153312"/>
    <w:rsid w:val="001B6E44"/>
    <w:rsid w:val="001C0B18"/>
    <w:rsid w:val="001C6153"/>
    <w:rsid w:val="001E3454"/>
    <w:rsid w:val="001F029A"/>
    <w:rsid w:val="001F3FBA"/>
    <w:rsid w:val="00235BD6"/>
    <w:rsid w:val="0026274A"/>
    <w:rsid w:val="002638D4"/>
    <w:rsid w:val="00264D19"/>
    <w:rsid w:val="00286F55"/>
    <w:rsid w:val="002A67C0"/>
    <w:rsid w:val="002C23BC"/>
    <w:rsid w:val="002C287B"/>
    <w:rsid w:val="002C3CAB"/>
    <w:rsid w:val="002C5106"/>
    <w:rsid w:val="002F27A4"/>
    <w:rsid w:val="00334DC1"/>
    <w:rsid w:val="003379DE"/>
    <w:rsid w:val="0034163C"/>
    <w:rsid w:val="0034368F"/>
    <w:rsid w:val="003955D7"/>
    <w:rsid w:val="00397C7B"/>
    <w:rsid w:val="003A35C0"/>
    <w:rsid w:val="004135B1"/>
    <w:rsid w:val="00414721"/>
    <w:rsid w:val="00416B8A"/>
    <w:rsid w:val="004235E1"/>
    <w:rsid w:val="00423900"/>
    <w:rsid w:val="00440416"/>
    <w:rsid w:val="00444BB9"/>
    <w:rsid w:val="00486657"/>
    <w:rsid w:val="00495A94"/>
    <w:rsid w:val="004B277F"/>
    <w:rsid w:val="004C42A8"/>
    <w:rsid w:val="004D0433"/>
    <w:rsid w:val="004D775C"/>
    <w:rsid w:val="00501382"/>
    <w:rsid w:val="00502B7A"/>
    <w:rsid w:val="005549E7"/>
    <w:rsid w:val="00556FD8"/>
    <w:rsid w:val="005605F7"/>
    <w:rsid w:val="005704BF"/>
    <w:rsid w:val="0057499B"/>
    <w:rsid w:val="005863E8"/>
    <w:rsid w:val="005933B1"/>
    <w:rsid w:val="00594075"/>
    <w:rsid w:val="00596F96"/>
    <w:rsid w:val="005A667E"/>
    <w:rsid w:val="005A6680"/>
    <w:rsid w:val="005B034B"/>
    <w:rsid w:val="005B6F37"/>
    <w:rsid w:val="005C1EA0"/>
    <w:rsid w:val="005C378B"/>
    <w:rsid w:val="005D0997"/>
    <w:rsid w:val="005D6A11"/>
    <w:rsid w:val="005E7CCC"/>
    <w:rsid w:val="005F05CA"/>
    <w:rsid w:val="005F4B2F"/>
    <w:rsid w:val="00606926"/>
    <w:rsid w:val="00615F58"/>
    <w:rsid w:val="0065585A"/>
    <w:rsid w:val="0065797C"/>
    <w:rsid w:val="00671D29"/>
    <w:rsid w:val="00684C2B"/>
    <w:rsid w:val="006A5100"/>
    <w:rsid w:val="006B1CDF"/>
    <w:rsid w:val="006C448A"/>
    <w:rsid w:val="006D403F"/>
    <w:rsid w:val="0070495E"/>
    <w:rsid w:val="00705762"/>
    <w:rsid w:val="00706D5C"/>
    <w:rsid w:val="00717AAC"/>
    <w:rsid w:val="00734F58"/>
    <w:rsid w:val="00740470"/>
    <w:rsid w:val="00755F90"/>
    <w:rsid w:val="007779D9"/>
    <w:rsid w:val="00795653"/>
    <w:rsid w:val="007A1E34"/>
    <w:rsid w:val="007B63FF"/>
    <w:rsid w:val="007D307A"/>
    <w:rsid w:val="00801CEC"/>
    <w:rsid w:val="00847D53"/>
    <w:rsid w:val="00851026"/>
    <w:rsid w:val="008739AA"/>
    <w:rsid w:val="008A39D0"/>
    <w:rsid w:val="008B73BD"/>
    <w:rsid w:val="008C120B"/>
    <w:rsid w:val="008C7F5C"/>
    <w:rsid w:val="0091728C"/>
    <w:rsid w:val="009433F4"/>
    <w:rsid w:val="00947F09"/>
    <w:rsid w:val="00964E02"/>
    <w:rsid w:val="009A5F02"/>
    <w:rsid w:val="009B291D"/>
    <w:rsid w:val="009D4765"/>
    <w:rsid w:val="009E0B90"/>
    <w:rsid w:val="009E49AB"/>
    <w:rsid w:val="009F1541"/>
    <w:rsid w:val="00A17816"/>
    <w:rsid w:val="00A218B8"/>
    <w:rsid w:val="00A45EED"/>
    <w:rsid w:val="00A74EB8"/>
    <w:rsid w:val="00A750DA"/>
    <w:rsid w:val="00A82C79"/>
    <w:rsid w:val="00A91778"/>
    <w:rsid w:val="00A94893"/>
    <w:rsid w:val="00AB796A"/>
    <w:rsid w:val="00AC11D2"/>
    <w:rsid w:val="00AC1C51"/>
    <w:rsid w:val="00B212BC"/>
    <w:rsid w:val="00B44BA2"/>
    <w:rsid w:val="00B65006"/>
    <w:rsid w:val="00B700D2"/>
    <w:rsid w:val="00B80E80"/>
    <w:rsid w:val="00BA3935"/>
    <w:rsid w:val="00BB5FC2"/>
    <w:rsid w:val="00BF531C"/>
    <w:rsid w:val="00C066B1"/>
    <w:rsid w:val="00C34393"/>
    <w:rsid w:val="00C60320"/>
    <w:rsid w:val="00C76CE9"/>
    <w:rsid w:val="00C93965"/>
    <w:rsid w:val="00C96577"/>
    <w:rsid w:val="00CA2C52"/>
    <w:rsid w:val="00CC4B65"/>
    <w:rsid w:val="00CD60A7"/>
    <w:rsid w:val="00CD6EBC"/>
    <w:rsid w:val="00CD709A"/>
    <w:rsid w:val="00CD7320"/>
    <w:rsid w:val="00D05AA0"/>
    <w:rsid w:val="00D14C40"/>
    <w:rsid w:val="00D23850"/>
    <w:rsid w:val="00D26FA2"/>
    <w:rsid w:val="00D274D0"/>
    <w:rsid w:val="00D278A6"/>
    <w:rsid w:val="00D465B0"/>
    <w:rsid w:val="00D4798B"/>
    <w:rsid w:val="00D606C6"/>
    <w:rsid w:val="00DB5D36"/>
    <w:rsid w:val="00DD7CCB"/>
    <w:rsid w:val="00DE205F"/>
    <w:rsid w:val="00E3117C"/>
    <w:rsid w:val="00E33B89"/>
    <w:rsid w:val="00E37644"/>
    <w:rsid w:val="00E514A1"/>
    <w:rsid w:val="00E67D4C"/>
    <w:rsid w:val="00E76FDB"/>
    <w:rsid w:val="00E82F2F"/>
    <w:rsid w:val="00E91769"/>
    <w:rsid w:val="00E95BDD"/>
    <w:rsid w:val="00EA6B9C"/>
    <w:rsid w:val="00EC345E"/>
    <w:rsid w:val="00ED16FA"/>
    <w:rsid w:val="00ED2DA9"/>
    <w:rsid w:val="00ED3397"/>
    <w:rsid w:val="00ED7659"/>
    <w:rsid w:val="00EE117E"/>
    <w:rsid w:val="00F12154"/>
    <w:rsid w:val="00F159EE"/>
    <w:rsid w:val="00F2001B"/>
    <w:rsid w:val="00F61F3C"/>
    <w:rsid w:val="00F810F5"/>
    <w:rsid w:val="00F84F94"/>
    <w:rsid w:val="00F94817"/>
    <w:rsid w:val="00FA200F"/>
    <w:rsid w:val="00FE71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B61DA"/>
  <w15:chartTrackingRefBased/>
  <w15:docId w15:val="{4E41FBFF-964E-4E5F-8FB6-ED934000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B7D"/>
    <w:pPr>
      <w:widowControl w:val="0"/>
      <w:bidi/>
      <w:spacing w:after="0" w:line="360" w:lineRule="auto"/>
      <w:ind w:left="340"/>
      <w:contextualSpacing/>
      <w:jc w:val="both"/>
    </w:pPr>
    <w:rPr>
      <w:rFonts w:ascii="David" w:hAnsi="David" w:cs="David"/>
      <w:sz w:val="24"/>
      <w:szCs w:val="24"/>
    </w:rPr>
  </w:style>
  <w:style w:type="paragraph" w:styleId="Heading1">
    <w:name w:val="heading 1"/>
    <w:basedOn w:val="Normal"/>
    <w:next w:val="Normal"/>
    <w:link w:val="Heading1Char"/>
    <w:uiPriority w:val="9"/>
    <w:qFormat/>
    <w:rsid w:val="000B2B7D"/>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0B2B7D"/>
    <w:pPr>
      <w:ind w:left="0"/>
      <w:jc w:val="left"/>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0B2B7D"/>
    <w:pPr>
      <w:spacing w:before="40"/>
      <w:ind w:left="0"/>
      <w:jc w:val="left"/>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0B2B7D"/>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0B2B7D"/>
    <w:pPr>
      <w:spacing w:line="259" w:lineRule="auto"/>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2B7D"/>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0B2B7D"/>
    <w:rPr>
      <w:rFonts w:ascii="David" w:hAnsi="David" w:cs="David"/>
      <w:b/>
      <w:bCs/>
      <w:color w:val="000000" w:themeColor="text1"/>
      <w:sz w:val="24"/>
      <w:szCs w:val="28"/>
    </w:rPr>
  </w:style>
  <w:style w:type="paragraph" w:customStyle="1" w:styleId="TableText">
    <w:name w:val="Table Text"/>
    <w:basedOn w:val="Normal"/>
    <w:rsid w:val="000B2B7D"/>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0B2B7D"/>
    <w:pPr>
      <w:outlineLvl w:val="2"/>
    </w:pPr>
  </w:style>
  <w:style w:type="paragraph" w:customStyle="1" w:styleId="TableBlock">
    <w:name w:val="Table Block"/>
    <w:basedOn w:val="TableText"/>
    <w:rsid w:val="000B2B7D"/>
    <w:pPr>
      <w:jc w:val="both"/>
    </w:pPr>
  </w:style>
  <w:style w:type="paragraph" w:customStyle="1" w:styleId="TableHead">
    <w:name w:val="Table Head"/>
    <w:basedOn w:val="TableText"/>
    <w:rsid w:val="000B2B7D"/>
    <w:pPr>
      <w:jc w:val="center"/>
      <w:outlineLvl w:val="1"/>
    </w:pPr>
    <w:rPr>
      <w:b/>
      <w:bCs/>
    </w:rPr>
  </w:style>
  <w:style w:type="paragraph" w:customStyle="1" w:styleId="HeadMitparsemetBaze">
    <w:name w:val="Head MitparsemetBaze"/>
    <w:basedOn w:val="Normal"/>
    <w:rsid w:val="000B2B7D"/>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0B2B7D"/>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0B2B7D"/>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0B2B7D"/>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0B2B7D"/>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0B2B7D"/>
    <w:rPr>
      <w:rFonts w:ascii="David" w:hAnsi="David" w:cs="David"/>
      <w:color w:val="000000" w:themeColor="text1"/>
      <w:sz w:val="24"/>
      <w:szCs w:val="24"/>
    </w:rPr>
  </w:style>
  <w:style w:type="paragraph" w:customStyle="1" w:styleId="HeadHatzaotHok4Futer">
    <w:name w:val="Head HatzaotHok4Futer"/>
    <w:basedOn w:val="HeadHatzaotHok"/>
    <w:rsid w:val="000B2B7D"/>
    <w:pPr>
      <w:spacing w:before="120" w:after="120"/>
    </w:pPr>
    <w:rPr>
      <w:color w:val="FF0000"/>
      <w:w w:val="80"/>
    </w:rPr>
  </w:style>
  <w:style w:type="paragraph" w:styleId="EndnoteText">
    <w:name w:val="endnote text"/>
    <w:basedOn w:val="Normal"/>
    <w:link w:val="EndnoteTextChar"/>
    <w:semiHidden/>
    <w:rsid w:val="000B2B7D"/>
    <w:pPr>
      <w:ind w:left="227" w:hanging="227"/>
    </w:pPr>
    <w:rPr>
      <w:sz w:val="14"/>
      <w:szCs w:val="22"/>
    </w:rPr>
  </w:style>
  <w:style w:type="character" w:customStyle="1" w:styleId="EndnoteTextChar">
    <w:name w:val="Endnote Text Char"/>
    <w:basedOn w:val="DefaultParagraphFont"/>
    <w:link w:val="EndnoteText"/>
    <w:semiHidden/>
    <w:rsid w:val="003A35C0"/>
    <w:rPr>
      <w:rFonts w:ascii="David" w:hAnsi="David" w:cs="David"/>
      <w:sz w:val="14"/>
    </w:rPr>
  </w:style>
  <w:style w:type="paragraph" w:customStyle="1" w:styleId="TableInnerSideHeading">
    <w:name w:val="Table InnerSideHeading"/>
    <w:basedOn w:val="TableSideHeading"/>
    <w:rsid w:val="000B2B7D"/>
    <w:pPr>
      <w:outlineLvl w:val="9"/>
    </w:pPr>
  </w:style>
  <w:style w:type="paragraph" w:customStyle="1" w:styleId="Hesber">
    <w:name w:val="Hesber"/>
    <w:basedOn w:val="Normal"/>
    <w:rsid w:val="000B2B7D"/>
    <w:pPr>
      <w:snapToGrid w:val="0"/>
      <w:ind w:left="0"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0B2B7D"/>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3A35C0"/>
    <w:rPr>
      <w:rFonts w:ascii="Arial" w:eastAsia="Arial Unicode MS" w:hAnsi="Arial" w:cs="David"/>
      <w:snapToGrid w:val="0"/>
      <w:sz w:val="14"/>
      <w:szCs w:val="20"/>
    </w:rPr>
  </w:style>
  <w:style w:type="character" w:styleId="FootnoteReference">
    <w:name w:val="footnote reference"/>
    <w:basedOn w:val="DefaultParagraphFont"/>
    <w:semiHidden/>
    <w:rsid w:val="000B2B7D"/>
    <w:rPr>
      <w:vertAlign w:val="superscript"/>
    </w:rPr>
  </w:style>
  <w:style w:type="paragraph" w:customStyle="1" w:styleId="HesberHeading">
    <w:name w:val="Hesber Heading"/>
    <w:basedOn w:val="Hesber"/>
    <w:rsid w:val="000B2B7D"/>
    <w:pPr>
      <w:tabs>
        <w:tab w:val="left" w:pos="624"/>
        <w:tab w:val="left" w:pos="1247"/>
      </w:tabs>
    </w:pPr>
    <w:rPr>
      <w:b/>
      <w:bCs/>
    </w:rPr>
  </w:style>
  <w:style w:type="paragraph" w:customStyle="1" w:styleId="HesberWriters">
    <w:name w:val="Hesber Writers"/>
    <w:basedOn w:val="Hesber"/>
    <w:rsid w:val="000B2B7D"/>
    <w:pPr>
      <w:spacing w:before="120" w:after="120"/>
      <w:ind w:left="1418"/>
      <w:jc w:val="right"/>
    </w:pPr>
    <w:rPr>
      <w:b/>
      <w:bCs/>
    </w:rPr>
  </w:style>
  <w:style w:type="paragraph" w:customStyle="1" w:styleId="Hesber1st">
    <w:name w:val="Hesber 1st"/>
    <w:basedOn w:val="Hesber"/>
    <w:rsid w:val="000B2B7D"/>
    <w:pPr>
      <w:tabs>
        <w:tab w:val="left" w:pos="680"/>
        <w:tab w:val="left" w:pos="1020"/>
      </w:tabs>
      <w:ind w:firstLine="0"/>
    </w:pPr>
  </w:style>
  <w:style w:type="character" w:styleId="EndnoteReference">
    <w:name w:val="endnote reference"/>
    <w:basedOn w:val="DefaultParagraphFont"/>
    <w:semiHidden/>
    <w:rsid w:val="000B2B7D"/>
    <w:rPr>
      <w:vertAlign w:val="superscript"/>
    </w:rPr>
  </w:style>
  <w:style w:type="paragraph" w:customStyle="1" w:styleId="TableBlockOutdent">
    <w:name w:val="Table BlockOutdent"/>
    <w:basedOn w:val="TableBlock"/>
    <w:rsid w:val="000B2B7D"/>
    <w:pPr>
      <w:ind w:left="624" w:hanging="624"/>
    </w:pPr>
  </w:style>
  <w:style w:type="paragraph" w:styleId="Header">
    <w:name w:val="header"/>
    <w:basedOn w:val="Normal"/>
    <w:link w:val="HeaderChar"/>
    <w:rsid w:val="000B2B7D"/>
    <w:pPr>
      <w:tabs>
        <w:tab w:val="center" w:pos="4153"/>
        <w:tab w:val="right" w:pos="8306"/>
      </w:tabs>
    </w:pPr>
  </w:style>
  <w:style w:type="character" w:customStyle="1" w:styleId="HeaderChar">
    <w:name w:val="Header Char"/>
    <w:basedOn w:val="DefaultParagraphFont"/>
    <w:link w:val="Header"/>
    <w:rsid w:val="003A35C0"/>
    <w:rPr>
      <w:rFonts w:ascii="David" w:hAnsi="David" w:cs="David"/>
      <w:sz w:val="24"/>
      <w:szCs w:val="24"/>
    </w:rPr>
  </w:style>
  <w:style w:type="paragraph" w:styleId="Footer">
    <w:name w:val="footer"/>
    <w:basedOn w:val="Normal"/>
    <w:link w:val="FooterChar"/>
    <w:rsid w:val="000B2B7D"/>
    <w:pPr>
      <w:tabs>
        <w:tab w:val="center" w:pos="4153"/>
        <w:tab w:val="right" w:pos="8306"/>
      </w:tabs>
    </w:pPr>
  </w:style>
  <w:style w:type="character" w:customStyle="1" w:styleId="FooterChar">
    <w:name w:val="Footer Char"/>
    <w:basedOn w:val="DefaultParagraphFont"/>
    <w:link w:val="Footer"/>
    <w:rsid w:val="003A35C0"/>
    <w:rPr>
      <w:rFonts w:ascii="David" w:hAnsi="David" w:cs="David"/>
      <w:sz w:val="24"/>
      <w:szCs w:val="24"/>
    </w:rPr>
  </w:style>
  <w:style w:type="character" w:styleId="PageNumber">
    <w:name w:val="page number"/>
    <w:basedOn w:val="DefaultParagraphFont"/>
    <w:rsid w:val="000B2B7D"/>
  </w:style>
  <w:style w:type="paragraph" w:customStyle="1" w:styleId="Cover1-Reshumot">
    <w:name w:val="Cover 1-Reshumot"/>
    <w:basedOn w:val="Normal"/>
    <w:rsid w:val="000B2B7D"/>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0B2B7D"/>
    <w:rPr>
      <w:sz w:val="36"/>
      <w:szCs w:val="52"/>
    </w:rPr>
  </w:style>
  <w:style w:type="paragraph" w:customStyle="1" w:styleId="Cover3-Haknesset">
    <w:name w:val="Cover 3-Haknesset"/>
    <w:basedOn w:val="Cover1-Reshumot"/>
    <w:rsid w:val="000B2B7D"/>
    <w:rPr>
      <w:b/>
      <w:bCs/>
      <w:spacing w:val="60"/>
    </w:rPr>
  </w:style>
  <w:style w:type="paragraph" w:customStyle="1" w:styleId="Cover4-Date">
    <w:name w:val="Cover 4-Date"/>
    <w:basedOn w:val="Normal"/>
    <w:rsid w:val="000B2B7D"/>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Normal"/>
    <w:rsid w:val="000B2B7D"/>
    <w:pPr>
      <w:snapToGrid w:val="0"/>
      <w:jc w:val="left"/>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0B2B7D"/>
    <w:pPr>
      <w:widowControl/>
      <w:spacing w:before="120" w:after="120"/>
      <w:outlineLvl w:val="9"/>
    </w:pPr>
    <w:rPr>
      <w:rtl/>
      <w:cs/>
    </w:rPr>
  </w:style>
  <w:style w:type="paragraph" w:styleId="TOC1">
    <w:name w:val="toc 1"/>
    <w:basedOn w:val="Normal"/>
    <w:next w:val="Normal"/>
    <w:autoRedefine/>
    <w:uiPriority w:val="39"/>
    <w:unhideWhenUsed/>
    <w:rsid w:val="000B2B7D"/>
    <w:pPr>
      <w:tabs>
        <w:tab w:val="right" w:leader="dot" w:pos="9629"/>
      </w:tabs>
      <w:spacing w:after="100"/>
    </w:pPr>
    <w:rPr>
      <w:bCs/>
      <w:szCs w:val="22"/>
    </w:rPr>
  </w:style>
  <w:style w:type="paragraph" w:styleId="TOC2">
    <w:name w:val="toc 2"/>
    <w:basedOn w:val="Normal"/>
    <w:next w:val="Normal"/>
    <w:uiPriority w:val="39"/>
    <w:unhideWhenUsed/>
    <w:rsid w:val="000B2B7D"/>
    <w:pPr>
      <w:tabs>
        <w:tab w:val="right" w:leader="dot" w:pos="9628"/>
      </w:tabs>
      <w:spacing w:after="100"/>
    </w:pPr>
    <w:rPr>
      <w:szCs w:val="22"/>
    </w:rPr>
  </w:style>
  <w:style w:type="character" w:styleId="Hyperlink">
    <w:name w:val="Hyperlink"/>
    <w:basedOn w:val="DefaultParagraphFont"/>
    <w:uiPriority w:val="99"/>
    <w:unhideWhenUsed/>
    <w:rsid w:val="000B2B7D"/>
    <w:rPr>
      <w:color w:val="0563C1" w:themeColor="hyperlink"/>
      <w:u w:val="single"/>
    </w:rPr>
  </w:style>
  <w:style w:type="paragraph" w:styleId="TOC3">
    <w:name w:val="toc 3"/>
    <w:basedOn w:val="Normal"/>
    <w:next w:val="Normal"/>
    <w:uiPriority w:val="39"/>
    <w:unhideWhenUsed/>
    <w:rsid w:val="000B2B7D"/>
    <w:pPr>
      <w:numPr>
        <w:numId w:val="19"/>
      </w:numPr>
      <w:tabs>
        <w:tab w:val="right" w:leader="dot" w:pos="9629"/>
      </w:tabs>
      <w:spacing w:after="100"/>
      <w:ind w:left="811" w:hanging="357"/>
    </w:pPr>
    <w:rPr>
      <w:szCs w:val="22"/>
    </w:rPr>
  </w:style>
  <w:style w:type="paragraph" w:styleId="TOC4">
    <w:name w:val="toc 4"/>
    <w:basedOn w:val="Normal"/>
    <w:next w:val="Normal"/>
    <w:autoRedefine/>
    <w:uiPriority w:val="39"/>
    <w:unhideWhenUsed/>
    <w:qFormat/>
    <w:rsid w:val="000B2B7D"/>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0B2B7D"/>
    <w:pPr>
      <w:tabs>
        <w:tab w:val="right" w:leader="dot" w:pos="9628"/>
      </w:tabs>
      <w:spacing w:after="100"/>
      <w:ind w:left="567"/>
    </w:pPr>
    <w:rPr>
      <w:szCs w:val="22"/>
    </w:rPr>
  </w:style>
  <w:style w:type="paragraph" w:styleId="TOC6">
    <w:name w:val="toc 6"/>
    <w:basedOn w:val="Normal"/>
    <w:next w:val="Normal"/>
    <w:autoRedefine/>
    <w:semiHidden/>
    <w:unhideWhenUsed/>
    <w:rsid w:val="000B2B7D"/>
    <w:pPr>
      <w:spacing w:after="100"/>
      <w:ind w:left="850"/>
    </w:pPr>
  </w:style>
  <w:style w:type="paragraph" w:styleId="TOC7">
    <w:name w:val="toc 7"/>
    <w:basedOn w:val="Normal"/>
    <w:next w:val="Normal"/>
    <w:autoRedefine/>
    <w:semiHidden/>
    <w:unhideWhenUsed/>
    <w:rsid w:val="000B2B7D"/>
    <w:pPr>
      <w:spacing w:after="100"/>
      <w:ind w:left="1020"/>
    </w:pPr>
  </w:style>
  <w:style w:type="paragraph" w:styleId="TOC8">
    <w:name w:val="toc 8"/>
    <w:basedOn w:val="Normal"/>
    <w:next w:val="Normal"/>
    <w:autoRedefine/>
    <w:semiHidden/>
    <w:unhideWhenUsed/>
    <w:rsid w:val="000B2B7D"/>
    <w:pPr>
      <w:spacing w:after="100"/>
      <w:ind w:left="1190"/>
    </w:pPr>
  </w:style>
  <w:style w:type="paragraph" w:styleId="TOC9">
    <w:name w:val="toc 9"/>
    <w:basedOn w:val="Normal"/>
    <w:next w:val="Normal"/>
    <w:autoRedefine/>
    <w:semiHidden/>
    <w:unhideWhenUsed/>
    <w:rsid w:val="000B2B7D"/>
    <w:pPr>
      <w:spacing w:after="100"/>
      <w:ind w:left="1360"/>
    </w:pPr>
  </w:style>
  <w:style w:type="paragraph" w:customStyle="1" w:styleId="TableHead2">
    <w:name w:val="Table Head2"/>
    <w:basedOn w:val="TableHead"/>
    <w:qFormat/>
    <w:rsid w:val="000B2B7D"/>
    <w:pPr>
      <w:outlineLvl w:val="9"/>
    </w:pPr>
  </w:style>
  <w:style w:type="paragraph" w:customStyle="1" w:styleId="TableSideHeading2">
    <w:name w:val="Table SideHeading2"/>
    <w:basedOn w:val="TableSideHeading"/>
    <w:autoRedefine/>
    <w:qFormat/>
    <w:rsid w:val="000B2B7D"/>
    <w:pPr>
      <w:keepLines w:val="0"/>
      <w:outlineLvl w:val="9"/>
    </w:pPr>
  </w:style>
  <w:style w:type="paragraph" w:customStyle="1" w:styleId="0">
    <w:name w:val="סגנון שורה ראשונה:  0  ס''מ"/>
    <w:basedOn w:val="Heading2"/>
    <w:rsid w:val="000B2B7D"/>
    <w:rPr>
      <w:rFonts w:eastAsia="Times New Roman"/>
    </w:rPr>
  </w:style>
  <w:style w:type="paragraph" w:styleId="ListParagraph">
    <w:name w:val="List Paragraph"/>
    <w:basedOn w:val="Normal"/>
    <w:uiPriority w:val="34"/>
    <w:qFormat/>
    <w:rsid w:val="000B2B7D"/>
    <w:pPr>
      <w:widowControl/>
      <w:spacing w:line="259" w:lineRule="auto"/>
    </w:pPr>
    <w:rPr>
      <w:rFonts w:asciiTheme="minorHAnsi" w:hAnsiTheme="minorHAnsi"/>
      <w:sz w:val="22"/>
    </w:rPr>
  </w:style>
  <w:style w:type="table" w:styleId="TableGrid">
    <w:name w:val="Table Grid"/>
    <w:basedOn w:val="TableNormal"/>
    <w:rsid w:val="000B2B7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B2B7D"/>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0B2B7D"/>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0B2B7D"/>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0B2B7D"/>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styleId="BalloonText">
    <w:name w:val="Balloon Text"/>
    <w:basedOn w:val="Normal"/>
    <w:link w:val="BalloonTextChar"/>
    <w:uiPriority w:val="99"/>
    <w:semiHidden/>
    <w:unhideWhenUsed/>
    <w:rsid w:val="005F05C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5CA"/>
    <w:rPr>
      <w:rFonts w:ascii="Segoe UI" w:hAnsi="Segoe UI" w:cs="Segoe UI"/>
      <w:sz w:val="18"/>
      <w:szCs w:val="18"/>
    </w:rPr>
  </w:style>
  <w:style w:type="character" w:styleId="CommentReference">
    <w:name w:val="annotation reference"/>
    <w:basedOn w:val="DefaultParagraphFont"/>
    <w:uiPriority w:val="99"/>
    <w:semiHidden/>
    <w:unhideWhenUsed/>
    <w:rsid w:val="005F05CA"/>
    <w:rPr>
      <w:sz w:val="16"/>
      <w:szCs w:val="16"/>
    </w:rPr>
  </w:style>
  <w:style w:type="paragraph" w:styleId="CommentText">
    <w:name w:val="annotation text"/>
    <w:basedOn w:val="Normal"/>
    <w:link w:val="CommentTextChar"/>
    <w:uiPriority w:val="99"/>
    <w:semiHidden/>
    <w:unhideWhenUsed/>
    <w:rsid w:val="005F05CA"/>
    <w:pPr>
      <w:spacing w:line="240" w:lineRule="auto"/>
    </w:pPr>
    <w:rPr>
      <w:sz w:val="20"/>
      <w:szCs w:val="20"/>
    </w:rPr>
  </w:style>
  <w:style w:type="character" w:customStyle="1" w:styleId="CommentTextChar">
    <w:name w:val="Comment Text Char"/>
    <w:basedOn w:val="DefaultParagraphFont"/>
    <w:link w:val="CommentText"/>
    <w:uiPriority w:val="99"/>
    <w:semiHidden/>
    <w:rsid w:val="005F05CA"/>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5F05CA"/>
    <w:rPr>
      <w:b/>
      <w:bCs/>
    </w:rPr>
  </w:style>
  <w:style w:type="character" w:customStyle="1" w:styleId="CommentSubjectChar">
    <w:name w:val="Comment Subject Char"/>
    <w:basedOn w:val="CommentTextChar"/>
    <w:link w:val="CommentSubject"/>
    <w:uiPriority w:val="99"/>
    <w:semiHidden/>
    <w:rsid w:val="005F05CA"/>
    <w:rPr>
      <w:rFonts w:ascii="David"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735507">
      <w:bodyDiv w:val="1"/>
      <w:marLeft w:val="0"/>
      <w:marRight w:val="0"/>
      <w:marTop w:val="0"/>
      <w:marBottom w:val="0"/>
      <w:divBdr>
        <w:top w:val="none" w:sz="0" w:space="0" w:color="auto"/>
        <w:left w:val="none" w:sz="0" w:space="0" w:color="auto"/>
        <w:bottom w:val="none" w:sz="0" w:space="0" w:color="auto"/>
        <w:right w:val="none" w:sz="0" w:space="0" w:color="auto"/>
      </w:divBdr>
    </w:div>
    <w:div w:id="9453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2C327-6EDA-4D1F-8E60-7D26A3D9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1012</Words>
  <Characters>5061</Characters>
  <Application>Microsoft Office Word</Application>
  <DocSecurity>4</DocSecurity>
  <Lines>42</Lines>
  <Paragraphs>12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 Belkin</dc:creator>
  <cp:keywords/>
  <dc:description/>
  <cp:lastModifiedBy>Melita Shafir</cp:lastModifiedBy>
  <cp:revision>2</cp:revision>
  <dcterms:created xsi:type="dcterms:W3CDTF">2021-05-05T12:21:00Z</dcterms:created>
  <dcterms:modified xsi:type="dcterms:W3CDTF">2021-05-05T12:21:00Z</dcterms:modified>
</cp:coreProperties>
</file>